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Einspruch und Aussetzung der Vollziehung (AdV)</w:t>
      </w:r>
    </w:p>
    <w:p>
      <w:pPr>
        <w:jc w:val="left"/>
      </w:pPr>
      <w:r>
        <w:rPr>
          <w:b/>
        </w:rPr>
        <w:t>Schriftsatz:</w:t>
      </w:r>
      <w:r>
        <w:t xml:space="preserve"> Einspruch gem. § 347 AO + Antrag auf AdV gem. § 361 AO</w:t>
      </w:r>
    </w:p>
    <w:p>
      <w:pPr>
        <w:jc w:val="left"/>
      </w:pPr>
      <w:r>
        <w:rPr>
          <w:b/>
        </w:rPr>
        <w:t>Adressat:</w:t>
      </w:r>
      <w:r>
        <w:t xml:space="preserve"> Finanzamt Augsburg-Stadt</w:t>
      </w:r>
    </w:p>
    <w:p>
      <w:pPr>
        <w:jc w:val="left"/>
      </w:pPr>
      <w:r>
        <w:rPr>
          <w:b/>
        </w:rPr>
        <w:t>Erstellungsdatum:</w:t>
      </w:r>
      <w:r>
        <w:t xml:space="preserve"> Kanzlei VS-2026-StR-0508, September 2026 (Entwurf)</w:t>
      </w:r>
    </w:p>
    <w:p/>
    <w:p>
      <w:pPr>
        <w:pStyle w:val="Heading2"/>
      </w:pPr>
      <w:r>
        <w:rPr>
          <w:rFonts w:ascii="Times New Roman" w:hAnsi="Times New Roman"/>
        </w:rPr>
        <w:t>Einspruchsgegenstand</w:t>
      </w:r>
    </w:p>
    <w:p>
      <w:pPr>
        <w:jc w:val="left"/>
      </w:pPr>
      <w:r>
        <w:t>Der Einspruch richtet sich gegen folgende Bescheide für die Jahre 2020 bis 2024:</w:t>
      </w:r>
    </w:p>
    <w:p>
      <w:pPr>
        <w:pStyle w:val="ListBullet"/>
      </w:pPr>
      <w:r>
        <w:t>Körperschaftsteuer-Änderungsbescheide 2020–2024</w:t>
      </w:r>
    </w:p>
    <w:p>
      <w:pPr>
        <w:pStyle w:val="ListBullet"/>
      </w:pPr>
      <w:r>
        <w:t>Gewerbesteuer-Messbescheide 2020–2024</w:t>
      </w:r>
    </w:p>
    <w:p>
      <w:pPr>
        <w:pStyle w:val="ListBullet"/>
      </w:pPr>
      <w:r>
        <w:t>Bescheide über gesonderte und einheitliche Feststellung der Einkünfte 2020–2024</w:t>
      </w:r>
    </w:p>
    <w:p/>
    <w:p>
      <w:pPr>
        <w:pStyle w:val="Heading2"/>
      </w:pPr>
      <w:r>
        <w:rPr>
          <w:rFonts w:ascii="Times New Roman" w:hAnsi="Times New Roman"/>
        </w:rPr>
        <w:t>Begründung (Kurzfassung)</w:t>
      </w:r>
    </w:p>
    <w:p>
      <w:pPr>
        <w:pStyle w:val="Heading3"/>
      </w:pPr>
      <w:r>
        <w:rPr>
          <w:rFonts w:ascii="Times New Roman" w:hAnsi="Times New Roman"/>
        </w:rPr>
        <w:t>Zu BP-3 (Fremdvergleich Bruder)</w:t>
      </w:r>
    </w:p>
    <w:p>
      <w:pPr>
        <w:jc w:val="left"/>
      </w:pPr>
      <w:r>
        <w:t>Die vom FA angesetzte Fremdvergleichsvergütung von EUR 52.000/Jahr ist nicht sachgerecht. Die Vergleichsangebote des Prüfers sind methodisch unzureichend, da sie die spezifische Branchenexpertise und das Netzwerk des Subunternehmers nicht berücksichtigen. Eine angemessene Vergütung liegt bei mindestens EUR 72.000/Jahr. Wir beantragen Reduzierung der vGA auf EUR 23.000/Jahr.</w:t>
      </w:r>
    </w:p>
    <w:p>
      <w:pPr>
        <w:pStyle w:val="Heading3"/>
      </w:pPr>
      <w:r>
        <w:rPr>
          <w:rFonts w:ascii="Times New Roman" w:hAnsi="Times New Roman"/>
        </w:rPr>
        <w:t>Zu BP-5 (Luxemburg AStG)</w:t>
      </w:r>
    </w:p>
    <w:p>
      <w:pPr>
        <w:jc w:val="left"/>
      </w:pPr>
      <w:r>
        <w:t>Die Hinzurechnungsbesteuerung nach §§ 7 ff. AStG setzt voraus, dass die ausländische Gesellschaft ausschließlich passive Einkünfte erzielt (§ 8 Abs. 1 Nr. 3 AStG) und die Steuerbelastung unter 25% liegt. Die LuxCo erzielte funktional aktive Vertriebseinkünfte (§ 8 Abs. 1 Nr. 4 AStG — Dienstleistungen). Wir beantragen die vollständige Aufhebung der Hinzurechnungsbesteuerung, hilfsweise die Anrechnung der in Luxemburg gezahlten Steuern.</w:t>
      </w:r>
    </w:p>
    <w:p>
      <w:pPr>
        <w:jc w:val="left"/>
      </w:pPr>
      <w:r>
        <w:t>Außerdem verweisen wir auf den EuGH-Grundsatz der Niederlassungsfreiheit (Art. 49 AEUV): Eine rein nationale Anwendung des AStG, die EU-Tochtergesellschaften diskriminiert, ist EU-rechtswidrig (EuGH C-196/04 — Cadbury Schweppes, openjur.de).</w:t>
      </w:r>
    </w:p>
    <w:p/>
    <w:p>
      <w:pPr>
        <w:pStyle w:val="Heading2"/>
      </w:pPr>
      <w:r>
        <w:rPr>
          <w:rFonts w:ascii="Times New Roman" w:hAnsi="Times New Roman"/>
        </w:rPr>
        <w:t>Antrag auf Aussetzung der Vollziehung (AdV)</w:t>
      </w:r>
    </w:p>
    <w:p>
      <w:pPr>
        <w:jc w:val="left"/>
      </w:pPr>
      <w:r>
        <w:t>Gem. § 361 Abs. 2 AO beantragen wir die Aussetzung der Vollziehung für folgende Beträge: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Bescheid</w:t>
            </w:r>
          </w:p>
        </w:tc>
        <w:tc>
          <w:tcPr>
            <w:tcW w:type="dxa" w:w="3024"/>
          </w:tcPr>
          <w:p>
            <w:r>
              <w:rPr>
                <w:rFonts w:ascii="Times New Roman" w:hAnsi="Times New Roman"/>
                <w:b/>
                <w:sz w:val="20"/>
              </w:rPr>
              <w:t>Streitige Nachsteuer EUR</w:t>
            </w:r>
          </w:p>
        </w:tc>
        <w:tc>
          <w:tcPr>
            <w:tcW w:type="dxa" w:w="3024"/>
          </w:tcPr>
          <w:p>
            <w:r>
              <w:rPr>
                <w:rFonts w:ascii="Times New Roman" w:hAnsi="Times New Roman"/>
                <w:b/>
                <w:sz w:val="20"/>
              </w:rPr>
              <w:t>AdV-Antrag</w:t>
            </w:r>
          </w:p>
        </w:tc>
      </w:tr>
      <w:tr>
        <w:tc>
          <w:tcPr>
            <w:tcW w:type="dxa" w:w="3024"/>
          </w:tcPr>
          <w:p>
            <w:r>
              <w:rPr>
                <w:rFonts w:ascii="Times New Roman" w:hAnsi="Times New Roman"/>
                <w:sz w:val="20"/>
              </w:rPr>
              <w:t>BP-3 vGA Bruder</w:t>
            </w:r>
          </w:p>
        </w:tc>
        <w:tc>
          <w:tcPr>
            <w:tcW w:type="dxa" w:w="3024"/>
          </w:tcPr>
          <w:p>
            <w:r>
              <w:rPr>
                <w:rFonts w:ascii="Times New Roman" w:hAnsi="Times New Roman"/>
                <w:sz w:val="20"/>
              </w:rPr>
              <w:t>35.500–66.300</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BP-5 Luxemburg Hinzurechnung</w:t>
            </w:r>
          </w:p>
        </w:tc>
        <w:tc>
          <w:tcPr>
            <w:tcW w:type="dxa" w:w="3024"/>
          </w:tcPr>
          <w:p>
            <w:r>
              <w:rPr>
                <w:rFonts w:ascii="Times New Roman" w:hAnsi="Times New Roman"/>
                <w:sz w:val="20"/>
              </w:rPr>
              <w:t>580.000–720.000</w:t>
            </w:r>
          </w:p>
        </w:tc>
        <w:tc>
          <w:tcPr>
            <w:tcW w:type="dxa" w:w="3024"/>
          </w:tcPr>
          <w:p>
            <w:r>
              <w:rPr>
                <w:rFonts w:ascii="Times New Roman" w:hAnsi="Times New Roman"/>
                <w:sz w:val="20"/>
              </w:rPr>
              <w:t>Vollständig</w:t>
            </w:r>
          </w:p>
        </w:tc>
      </w:tr>
      <w:tr>
        <w:tc>
          <w:tcPr>
            <w:tcW w:type="dxa" w:w="3024"/>
          </w:tcPr>
          <w:p>
            <w:r>
              <w:rPr>
                <w:rFonts w:ascii="Times New Roman" w:hAnsi="Times New Roman"/>
                <w:b/>
                <w:sz w:val="20"/>
              </w:rPr>
              <w:t>Summe AdV-Antrag</w:t>
            </w:r>
          </w:p>
        </w:tc>
        <w:tc>
          <w:tcPr>
            <w:tcW w:type="dxa" w:w="3024"/>
          </w:tcPr>
          <w:p>
            <w:r>
              <w:rPr>
                <w:rFonts w:ascii="Times New Roman" w:hAnsi="Times New Roman"/>
                <w:sz w:val="20"/>
              </w:rPr>
              <w:t xml:space="preserve">ca. </w:t>
            </w:r>
            <w:r>
              <w:rPr>
                <w:rFonts w:ascii="Times New Roman" w:hAnsi="Times New Roman"/>
                <w:b/>
                <w:sz w:val="20"/>
              </w:rPr>
              <w:t>650.000–790.000</w:t>
            </w:r>
          </w:p>
        </w:tc>
        <w:tc>
          <w:tcPr>
            <w:tcW w:type="dxa" w:w="3024"/>
          </w:tcPr>
          <w:p/>
        </w:tc>
      </w:tr>
    </w:tbl>
    <w:p>
      <w:pPr>
        <w:jc w:val="left"/>
      </w:pPr>
      <w:r>
        <w:rPr>
          <w:b/>
        </w:rPr>
        <w:t>Begründung AdV:</w:t>
      </w:r>
      <w:r>
        <w:t xml:space="preserve"> Es bestehen ernstliche Zweifel an der Rechtmäßigkeit der Bescheide i.S.v. § 361 Abs. 2 Satz 2 AO, insbesondere zur EU-Rechtskonformität der Hinzurechnungsbesteuerung (EuGH-Rechtsprechung) und zur Sachgerechtheit des Fremdvergleichs.</w:t>
      </w:r>
    </w:p>
    <w:p/>
    <w:p>
      <w:pPr>
        <w:pStyle w:val="Heading2"/>
      </w:pPr>
      <w:r>
        <w:rPr>
          <w:rFonts w:ascii="Times New Roman" w:hAnsi="Times New Roman"/>
        </w:rPr>
        <w:t>Verfahrenstaktische Überlegung</w:t>
      </w:r>
    </w:p>
    <w:p>
      <w:pPr>
        <w:jc w:val="left"/>
      </w:pPr>
      <w:r>
        <w:t>Bei Ablehnung der AdV durch das FA: Antrag auf gerichtliche AdV nach § 69 FGO beim FG München. Angesichts der anhängigen BFH-Verfahren zur AStG-Reform ist eine AdV wahrscheinlich.</w:t>
      </w:r>
    </w:p>
    <w:p>
      <w:pPr>
        <w:jc w:val="left"/>
      </w:pPr>
      <w:r>
        <w:rPr>
          <w:b/>
        </w:rPr>
        <w:t>Quellen:</w:t>
      </w:r>
    </w:p>
    <w:p>
      <w:pPr>
        <w:pStyle w:val="ListBullet"/>
      </w:pPr>
      <w:r>
        <w:t>§ 347 AO — https://dejure.org/gesetze/AO/347.html</w:t>
      </w:r>
    </w:p>
    <w:p>
      <w:pPr>
        <w:pStyle w:val="ListBullet"/>
      </w:pPr>
      <w:r>
        <w:t>§ 361 AO — https://dejure.org/gesetze/AO/361.html</w:t>
      </w:r>
    </w:p>
    <w:p>
      <w:pPr>
        <w:pStyle w:val="ListBullet"/>
      </w:pPr>
      <w:r>
        <w:t>§ 69 FGO — https://dejure.org/gesetze/FGO/69.html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Adressat: Finanzamt Augsburg-Stadt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Adressat: Finanzamt Augsburg-Stadt</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