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02 — Beteiligte und Verfahrensübersicht</w:t>
      </w:r>
    </w:p>
    <w:p>
      <w:pPr>
        <w:jc w:val="left"/>
      </w:pPr>
      <w:r>
        <w:rPr>
          <w:b/>
        </w:rPr>
        <w:t>Bearbeitungsstand:</w:t>
      </w:r>
      <w:r>
        <w:t xml:space="preserve"> Mai 2026</w:t>
      </w:r>
    </w:p>
    <w:p/>
    <w:p>
      <w:pPr>
        <w:pStyle w:val="Heading2"/>
      </w:pPr>
      <w:r>
        <w:rPr>
          <w:rFonts w:ascii="Times New Roman" w:hAnsi="Times New Roman"/>
        </w:rPr>
        <w:t>1. Mandantin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Firma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Tannenkamp Mode-Versand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Natruper Str. 218, 49090 Osnabrück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HRB 20847, AG Osnabrück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Gründung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1998 (als e.K.), GmbH-Umwandlung 2011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Geschäftsführer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Gerd Tannenkamp (alleinvertr.)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Kaufm. Leitung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Marion Hüsing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IT-Leiter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Benedikt Wörmann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Jahresumsatz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18 Mio.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Mitarbeiter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140 (Vollzeit-Äquivalente)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Online-Shop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tannenkamp-mode.de (seit 2018)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Shopify-Plattform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Shopify Plus, Theme „Lavanda Pro"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Theme-Anbieter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Lavendelhaus Design GbR, Münster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Verfahrensbeteiligte</w:t>
      </w:r>
    </w:p>
    <w:p>
      <w:pPr>
        <w:pStyle w:val="Heading3"/>
      </w:pPr>
      <w:r>
        <w:rPr>
          <w:rFonts w:ascii="Times New Roman" w:hAnsi="Times New Roman"/>
        </w:rPr>
        <w:t>Marktüberwachungsbehörde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Behörde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Nds. Landesamt für Verbraucherschutz und Lebensmittelsicherheit (LAVES), Dezernat Marktüberwachung BFSG — intern: „MüNI"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Az.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MüNI-BFSG-2026/0188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Verfahrensart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Marküberwachungsverfahren §§ 30 ff. BFSG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Sachbearbeiterin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Regierungsinspektorin Almut Stegge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Frist Anhörung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06.04.2026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Drohende Sanktion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Bußgeld bis 100.000 EUR (§ 37 BFSG), Untersagungsverfügung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Verbandsklägerin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Kläger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Verbraucherzentrale NRW e.V. (VZ NRW)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 Tim Hollenbeck, VZ NRW Rechtsabteilung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LG Hannover, 18. Kammer für Handelssachen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Az.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 OH 8/26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Verfahrensart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Verbandsklage gemäß VRUG (§§ 1 ff. UKlaG i.d.F. ab 25.06.2023)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Klagebegehr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Unterlassung Betrieb des nicht-barrierefreien Online-Shops, Folgenbeseitigung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Klageingang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März 2026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Dritte — Outsourcing-Partner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Firma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Lavendelhaus Design GbR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Scharnhorststr. 14, 48151 Münster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Gesellschafter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Petra Lavendel, Jonas Hausmann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Rolle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Theme-Entwicklung und -Pflege „Lavanda Pro" seit 2022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Vertragsstatus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Pflege-/Supportvertrag 2022–lfd.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Regressfrage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Mitverantwortung für WCAG-Verstöße, die im Theme verankert sind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Mandatsvertreterin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Anwältin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 Dr. Annerose Friedrichs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Friedrichs — IT-Recht &amp; Verbraucherschutz, Hannover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Tätigkeitsschwerpunkt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IT-Recht, Verbraucherschutzrecht, E-Commerce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Intern-Az.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AF-IT-2026/0094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Verfahrensübersicht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Strang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Az.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Forum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 (Mai 2026)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Marktüberwachung MüNI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MüNI-BFSG-2026/0188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LAVES Niedersachsen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Anhörung beantwortet; Bescheid ausstehend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Verbandsklage VZ NRW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Hannover 18 OH 8/26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Hannover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Klageerwiderungsfrist 31.05.2026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Regress Lavendelhaus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intern AF-IT-2026/0094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Vorgerichtlich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Regressforderung übersandt 05.04.2026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BFSG-Sanierung intern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Remediation-Roadmap erstellt; Umsetzung läuft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Chronologie der Verfahrenseröffnung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28.06.2025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BFSG tritt vollständig in Kraft; Online-Shop-Dienstleistungen unterliegen Barrierefreiheitspflicht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VZ NRW sendet Verstoßmeldung § 33 BFSG und erhebt Verbandsklage LG Hannover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MüNI leitet Verfahren Az. MüNI-BFSG-2026/0188 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Erstgespräch bei Dr. Friedrichs; Mandatserteilung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MüNI-Anhörungsschreiben zugestellt (Frist 06.04.2026)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Stellungnahme Dr. Friedrichs an MüNI abgesandt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Regressforderungsschreiben an Lavendelhaus Design übersandt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Gerd Tannenkamp erkundigt sich nach Kostenrahmen BFSG-Sanierung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Kanzlei sendet ergänzende Stellungnahme an MüNI (Nachlieferung Audit-Bericht)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Frist Klageerwiderung LG Hannover (beantragt)</w:t>
            </w:r>
          </w:p>
        </w:tc>
      </w:tr>
    </w:tbl>
    <w:p/>
    <w:p>
      <w:pPr>
        <w:jc w:val="left"/>
      </w:pPr>
      <w:r>
        <w:rPr>
          <w:i/>
        </w:rPr>
        <w:t>Bearb.: Dr. A. Friedrichs — Mai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Marktüberwachungsbehörde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Marktüberwachungsbehörde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