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Hersteller-Servicepolicy Repair</w:t>
      </w:r>
    </w:p>
    <w:p>
      <w:pPr>
        <w:jc w:val="left"/>
      </w:pPr>
      <w:r>
        <w:t>VestaCool Europe GmbH, Auszug aus Serviceportal, Stand 15.05.2026:</w:t>
      </w:r>
    </w:p>
    <w:p>
      <w:pPr>
        <w:pStyle w:val="ListNumber"/>
      </w:pPr>
      <w:r>
        <w:t>Reparaturen an Kompressor, Sensorboard und Eiswürfelmodul sind sicherheitsrelevant.</w:t>
      </w:r>
    </w:p>
    <w:p>
      <w:pPr>
        <w:pStyle w:val="ListNumber"/>
      </w:pPr>
      <w:r>
        <w:t>Ersatzteile werden nur nach Seriennummernprüfung und Online-Diagnose freigegeben.</w:t>
      </w:r>
    </w:p>
    <w:p>
      <w:pPr>
        <w:pStyle w:val="ListNumber"/>
      </w:pPr>
      <w:r>
        <w:t>Nicht autorisierte Eingriffe können Energieverbrauch, Kältemittelkreislauf und Produktsicherheit beeinträchtigen.</w:t>
      </w:r>
    </w:p>
    <w:p>
      <w:pPr>
        <w:pStyle w:val="ListNumber"/>
      </w:pPr>
      <w:r>
        <w:t>Für unabhängige Werkstätten gibt es ein Registrierungsverfahren; Bearbeitungszeit aktuell sechs bis acht Wochen.</w:t>
      </w:r>
    </w:p>
    <w:p>
      <w:pPr>
        <w:pStyle w:val="ListNumber"/>
      </w:pPr>
      <w:r>
        <w:t>Bei Geräten mit CarePlus kann der Kunde einen autorisierten Termin verlangen.</w:t>
      </w:r>
    </w:p>
    <w:p>
      <w:pPr>
        <w:jc w:val="left"/>
      </w:pPr>
      <w:r>
        <w:t>Interne Notiz VestaCool im E-Mail-Anhang: "FR-900 Firmware 5.4.8 erzeugt gehäuft IceModule-Calibration-Fails. Root cause not closed. Bitte keine schriftliche Anerkennung als Serienfehler."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VestaCool Europe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VestaCool Europe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Auszug aus Serviceportal, Stand 15.05.2026: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