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Versicherung Helvetia — Deckungsablehnung und Klage LG Hamburg</w:t>
      </w:r>
    </w:p>
    <w:p>
      <w:pPr>
        <w:jc w:val="left"/>
      </w:pPr>
      <w:r>
        <w:t>Akte: LG Hamburg 327 O 88/26</w:t>
      </w:r>
    </w:p>
    <w:p>
      <w:pPr>
        <w:jc w:val="left"/>
      </w:pPr>
      <w:r>
        <w:t>Verfasser: RA Michael Sommerfeldt</w:t>
      </w:r>
    </w:p>
    <w:p>
      <w:pPr>
        <w:jc w:val="left"/>
      </w:pPr>
      <w:r>
        <w:t>Mitarbeit: RAin Dr. Antonia Hammerschmidt</w:t>
      </w:r>
    </w:p>
    <w:p>
      <w:pPr>
        <w:jc w:val="left"/>
      </w:pPr>
      <w:r>
        <w:t>Stand: 25. März 2026</w:t>
      </w:r>
    </w:p>
    <w:p/>
    <w:p>
      <w:pPr>
        <w:pStyle w:val="Heading2"/>
      </w:pPr>
      <w:r>
        <w:rPr>
          <w:rFonts w:ascii="Times New Roman" w:hAnsi="Times New Roman"/>
        </w:rPr>
        <w:t>1. Versicherungsverhältnis</w:t>
      </w:r>
    </w:p>
    <w:p>
      <w:pPr>
        <w:jc w:val="left"/>
      </w:pPr>
      <w:r>
        <w:rPr>
          <w:b/>
        </w:rPr>
        <w:t>Versicherer:</w:t>
      </w:r>
      <w:r>
        <w:t xml:space="preserve"> Helvetia Versicherungen AG, Weißfrauenstraße 9, 60311 Frankfurt am Main</w:t>
      </w:r>
    </w:p>
    <w:p>
      <w:pPr>
        <w:jc w:val="left"/>
      </w:pPr>
      <w:r>
        <w:rPr>
          <w:b/>
        </w:rPr>
        <w:t>Versicherungsnehmer:</w:t>
      </w:r>
      <w:r>
        <w:t xml:space="preserve"> Schwarmstedt Logistik GmbH</w:t>
      </w:r>
    </w:p>
    <w:p>
      <w:pPr>
        <w:jc w:val="left"/>
      </w:pPr>
      <w:r>
        <w:rPr>
          <w:b/>
        </w:rPr>
        <w:t>Police:</w:t>
      </w:r>
      <w:r>
        <w:t xml:space="preserve"> 74-SL-8832-2024 (Speditions- und Lagerversicherung)</w:t>
      </w:r>
    </w:p>
    <w:p>
      <w:pPr>
        <w:jc w:val="left"/>
      </w:pPr>
      <w:r>
        <w:rPr>
          <w:b/>
        </w:rPr>
        <w:t>Versicherungsart:</w:t>
      </w:r>
      <w:r>
        <w:t xml:space="preserve"> CMR-Haftpflichtversicherung für Spediteure und Frachtführer</w:t>
      </w:r>
    </w:p>
    <w:p>
      <w:pPr>
        <w:jc w:val="left"/>
      </w:pPr>
      <w:r>
        <w:rPr>
          <w:b/>
        </w:rPr>
        <w:t>Deckungssumme:</w:t>
      </w:r>
      <w:r>
        <w:t xml:space="preserve"> 2.500.000 EUR je Schadensfall, 7.500.000 EUR Jahreshöchstleistung</w:t>
      </w:r>
    </w:p>
    <w:p>
      <w:pPr>
        <w:jc w:val="left"/>
      </w:pPr>
      <w:r>
        <w:rPr>
          <w:b/>
        </w:rPr>
        <w:t>Jahresprämie:</w:t>
      </w:r>
      <w:r>
        <w:t xml:space="preserve"> 84.000 EUR (netto), zahlbar monatlich</w:t>
      </w:r>
    </w:p>
    <w:p>
      <w:pPr>
        <w:jc w:val="left"/>
      </w:pPr>
      <w:r>
        <w:rPr>
          <w:b/>
        </w:rPr>
        <w:t>Versicherungsbeginn:</w:t>
      </w:r>
      <w:r>
        <w:t xml:space="preserve"> 01. Januar 2024</w:t>
      </w:r>
    </w:p>
    <w:p>
      <w:pPr>
        <w:jc w:val="left"/>
      </w:pPr>
      <w:r>
        <w:rPr>
          <w:b/>
        </w:rPr>
        <w:t>Anwendbare AVB:</w:t>
      </w:r>
      <w:r>
        <w:t xml:space="preserve"> Allgemeine Versicherungsbedingungen Speditions-Haftpflichtversicherung (AVB-Spedition 2020, Verband der Haftpflichtversicherer e.V. — GDV Muster)</w:t>
      </w:r>
    </w:p>
    <w:p/>
    <w:p>
      <w:pPr>
        <w:pStyle w:val="Heading2"/>
      </w:pPr>
      <w:r>
        <w:rPr>
          <w:rFonts w:ascii="Times New Roman" w:hAnsi="Times New Roman"/>
        </w:rPr>
        <w:t>2. Deckungsablehnung — Schreiben Helvetia vom 12.02.2026</w:t>
      </w:r>
    </w:p>
    <w:p>
      <w:pPr>
        <w:pStyle w:val="Heading3"/>
      </w:pPr>
      <w:r>
        <w:rPr>
          <w:rFonts w:ascii="Times New Roman" w:hAnsi="Times New Roman"/>
        </w:rPr>
        <w:t>2.1 Inhalt der Ablehnung</w:t>
      </w:r>
    </w:p>
    <w:p>
      <w:pPr>
        <w:jc w:val="left"/>
      </w:pPr>
      <w:r>
        <w:t>Helvetia Schadensreferent Stefan Wollbrink hat mit Schreiben vom 12. Februar 2026 (Az. SL-2026-00198) die Deckung mit folgender Begründung abgelehnt:</w:t>
      </w:r>
    </w:p>
    <w:p>
      <w:pPr>
        <w:ind w:left="567"/>
      </w:pPr>
      <w:r>
        <w:rPr>
          <w:i/>
        </w:rPr>
        <w:t>"Nach Prüfung des Schadensfalls Az. SL-2026-00198 (Transportschaden CMR-Frachtbrief Nr. CMR-2026-DE-001-0018) müssen wir Ihnen mitteilen, dass wir leider keine Deckung gewähren können.</w:t>
      </w:r>
    </w:p>
    <w:p>
      <w:pPr>
        <w:ind w:left="567"/>
      </w:pPr>
    </w:p>
    <w:p>
      <w:pPr>
        <w:ind w:left="567"/>
      </w:pPr>
      <w:r>
        <w:rPr>
          <w:i/>
        </w:rPr>
        <w:t>Gemäß § 31 Abs. 1 unserer Allgemeinen Versicherungsbedingungen (AVB-Spedition 2020) ist der Versicherungsnehmer verpflichtet, jeden Schadenfall, der eine Leistungspflicht des Versicherers auslösen kann, unverzüglich nach Kenntnis — spätestens jedoch innerhalb von 72 Stunden nach Entdeckung — anzuzeigen. Diese Frist beginnt mit dem Zeitpunkt, zu dem der Versicherungsnehmer oder seine Erfüllungsgehilfen von dem schadenauslösenden Ereignis Kenntnis erlangen.</w:t>
      </w:r>
    </w:p>
    <w:p>
      <w:pPr>
        <w:ind w:left="567"/>
      </w:pPr>
    </w:p>
    <w:p>
      <w:pPr>
        <w:ind w:left="567"/>
      </w:pPr>
      <w:r>
        <w:rPr>
          <w:i/>
        </w:rPr>
        <w:t>Im vorliegenden Fall hat Ihr Unternehmen den Schadensfall am 14. Januar 2026 entdeckt (Warenannahme verweigert durch HCL Lyon). Die Schadensmeldung an uns erfolgte jedoch erst am 19. Januar 2026 — also fünf Tage (120 Stunden) nach dem Schadensereignis. Dies stellt eine Obliegenheitsverletzung im Sinne von § 31 Abs. 1 AVB-Spedition 2020 i.V.m. § 28 VVG dar, die zum Verlust des Versicherungsschutzes führt."</w:t>
      </w:r>
    </w:p>
    <w:p>
      <w:pPr>
        <w:pStyle w:val="Heading3"/>
      </w:pPr>
      <w:r>
        <w:rPr>
          <w:rFonts w:ascii="Times New Roman" w:hAnsi="Times New Roman"/>
        </w:rPr>
        <w:t>2.2 Subsidiäre Ablehnungsgründe</w:t>
      </w:r>
    </w:p>
    <w:p>
      <w:pPr>
        <w:jc w:val="left"/>
      </w:pPr>
      <w:r>
        <w:t>Das Helvetia-Schreiben enthält ferner folgende subsidiäre Argumentation:</w:t>
      </w:r>
    </w:p>
    <w:p>
      <w:pPr>
        <w:ind w:left="567"/>
      </w:pPr>
      <w:r>
        <w:rPr>
          <w:i/>
        </w:rPr>
        <w:t>"Ergänzend weisen wir darauf hin, dass der streitgegenständliche Transport eine Subbeauftragung an die Petrescu Transport SRL (Bukarest) sowie eine nicht autorisierte Weitervergabe an die Cojocaru Flota SRL umfasste. Gemäß § 14 Abs. 3 unserer Police ist die Beauftragung von Sub-Subunternehmern ohne vorherige schriftliche Zustimmung des Versicherers eine anzeigepflichtige Gefahrerhöhung (§ 23 VVG). Der Versicherungsnehmer hat uns diese Gefahrerhöhung nicht angezeigt."</w:t>
      </w:r>
    </w:p>
    <w:p/>
    <w:p>
      <w:pPr>
        <w:pStyle w:val="Heading2"/>
      </w:pPr>
      <w:r>
        <w:rPr>
          <w:rFonts w:ascii="Times New Roman" w:hAnsi="Times New Roman"/>
        </w:rPr>
        <w:t>3. Rechtliche Bewertung</w:t>
      </w:r>
    </w:p>
    <w:p>
      <w:pPr>
        <w:pStyle w:val="Heading3"/>
      </w:pPr>
      <w:r>
        <w:rPr>
          <w:rFonts w:ascii="Times New Roman" w:hAnsi="Times New Roman"/>
        </w:rPr>
        <w:t>3.1 Obliegenheitsverletzung nach § 28 VVG / § 31 AVB-Spedition 2020</w:t>
      </w:r>
    </w:p>
    <w:p>
      <w:pPr>
        <w:jc w:val="left"/>
      </w:pPr>
      <w:r>
        <w:rPr>
          <w:b/>
        </w:rPr>
        <w:t>§ 28 Abs. 1 VVG</w:t>
      </w:r>
      <w:r>
        <w:t xml:space="preserve"> bestimmt, dass der Versicherungsnehmer bei Verletzung einer Obliegenheit, die er nach Eintritt des Versicherungsfalls zu erfüllen hat, den Versicherer nicht vorsätzlich täuscht und die Verletzung weder auf Vorsatz noch auf grober Fahrlässigkeit beruht, der Versicherer zur Leistung verpflichtet bleibt.</w:t>
      </w:r>
    </w:p>
    <w:p>
      <w:pPr>
        <w:jc w:val="left"/>
      </w:pPr>
      <w:r>
        <w:rPr>
          <w:b/>
        </w:rPr>
        <w:t>§ 28 Abs. 2 VVG:</w:t>
      </w:r>
      <w:r>
        <w:t xml:space="preserve"> Bei vorsätzlicher Verletzung ist der Versicherer leistungsfrei. Bei grob fahrlässiger Verletzung ist der Versicherer berechtigt, seine Leistung in dem Verhältnis zu kürzen, das dem Grad des Verschuldens entspricht.</w:t>
      </w:r>
    </w:p>
    <w:p>
      <w:pPr>
        <w:jc w:val="left"/>
      </w:pPr>
      <w:r>
        <w:rPr>
          <w:b/>
        </w:rPr>
        <w:t>Schlüsselfrage 1:</w:t>
      </w:r>
      <w:r>
        <w:t xml:space="preserve"> Wann trat die "Kenntnis" von Schwarmstedt im Sinne des § 31 AVB ein?</w:t>
      </w:r>
    </w:p>
    <w:p>
      <w:pPr>
        <w:jc w:val="left"/>
      </w:pPr>
      <w:r>
        <w:t>Funkbruch argumentiert:</w:t>
      </w:r>
    </w:p>
    <w:p>
      <w:pPr>
        <w:pStyle w:val="ListBullet"/>
      </w:pPr>
      <w:r>
        <w:t>Am 14. Januar 2026: Zunächst hatte er nur die Information, dass HCL Lyon die Ware nicht annehmen "wolle" — er interpretierte dies als Lagerproblem/Verweigerung, nicht als endgültigen Schaden</w:t>
      </w:r>
    </w:p>
    <w:p>
      <w:pPr>
        <w:pStyle w:val="ListBullet"/>
      </w:pPr>
      <w:r>
        <w:t>Am 15. Januar 2026: Erneuter Kontakt mit MediVita; Ergebnis noch unklar, QS-Gutachten lief noch</w:t>
      </w:r>
    </w:p>
    <w:p>
      <w:pPr>
        <w:pStyle w:val="ListBullet"/>
      </w:pPr>
      <w:r>
        <w:t>Am 17. Januar 2026: MediVita übermittelte die ersten QS-Befunde (Freigabeverweigerung durch QS-Labor)</w:t>
      </w:r>
    </w:p>
    <w:p>
      <w:pPr>
        <w:pStyle w:val="ListBullet"/>
      </w:pPr>
      <w:r>
        <w:t>Am 19. Januar 2026: Meldung beim Versicherungsmakler</w:t>
      </w:r>
    </w:p>
    <w:p>
      <w:pPr>
        <w:jc w:val="left"/>
      </w:pPr>
      <w:r>
        <w:rPr>
          <w:b/>
        </w:rPr>
        <w:t>Gegenauffassung Helvetia:</w:t>
      </w:r>
      <w:r>
        <w:t xml:space="preserve"> Kenntnis des "schadenauslösenden Ereignisses" (nicht: des Schadenumfangs) bestand spätestens am 14. Januar 2026 mit der Ankunft und Ablehnungsmitteilung der HCL Lyon.</w:t>
      </w:r>
    </w:p>
    <w:p>
      <w:pPr>
        <w:jc w:val="left"/>
      </w:pPr>
      <w:r>
        <w:rPr>
          <w:b/>
        </w:rPr>
        <w:t>Rechtliche Einschätzung:</w:t>
      </w:r>
    </w:p>
    <w:p>
      <w:pPr>
        <w:jc w:val="left"/>
      </w:pPr>
      <w:r>
        <w:t>Die Helvetia-Auslegung ist zu weit. Nach h.M. beginnt die Anzeigefrist nicht schon mit der Kenntnis eines möglichen Schadensereignisses, sondern mit der Kenntnis, dass ein versicherter Schaden eingetreten ist. Eine bloße Warenannahmeverweigerung begründet noch keine sichere Kenntnis, dass ein Schaden in versicherter Höhe entstanden ist. Auf das QS-Gutachten (17. Januar 2026, erstes Ergebnis) kann abgestellt werden. Dann läge die Meldung vom 19. Januar 2026 innerhalb von 48 Stunden und damit innerhalb der 72-Stunden-Frist.</w:t>
      </w:r>
    </w:p>
    <w:p>
      <w:pPr>
        <w:jc w:val="left"/>
      </w:pPr>
      <w:r>
        <w:t>Selbst wenn eine Obliegenheitsverletzung vorläge: Helvetia muss nach § 28 Abs. 4 VVG nachweisen, dass die Verletzung den Eintritt oder die Feststellung des Versicherungsfalls beeinflusst hat ("Relevanzklausel"). Eine zwei bis fünf Tage verzögerte Meldung hat im vorliegenden Fall keinen Einfluss auf die Schadenshöhe oder -feststellung gehabt — die Waren waren bereits von MediVita dokumentiert/vernichtet.</w:t>
      </w:r>
    </w:p>
    <w:p>
      <w:pPr>
        <w:jc w:val="left"/>
      </w:pPr>
      <w:r>
        <w:rPr>
          <w:b/>
        </w:rPr>
        <w:t>Schlüsselfrage 2:</w:t>
      </w:r>
      <w:r>
        <w:t xml:space="preserve"> Grob fahrlässige Obliegenheitsverletzung?</w:t>
      </w:r>
    </w:p>
    <w:p>
      <w:pPr>
        <w:jc w:val="left"/>
      </w:pPr>
      <w:r>
        <w:t>Selbst wenn eine Obliegenheitsverletzung vorläge, wäre zu prüfen, ob diese grob fahrlässig oder nur leicht fahrlässig erfolgte. Funkbruch hat nach eigenem Bekunden zunächst auf eine Einigung mit MediVita gesetzt und erst nach deren Ablehnung den Versicherungsfall gemeldet. Dies entspricht dem Verhalten eines durchschnittlichen Unternehmers, der versucht, einen Schaden einvernehmlich zu lösen — kein grob fahrlässiges Verhalten.</w:t>
      </w:r>
    </w:p>
    <w:p>
      <w:pPr>
        <w:jc w:val="left"/>
      </w:pPr>
      <w:r>
        <w:t>Bei nur leicht fahrlässiger Obliegenheitsverletzung bleibt der Versicherer nach § 28 Abs. 3 VVG zur vollen Leistung verpflichtet.</w:t>
      </w:r>
    </w:p>
    <w:p>
      <w:pPr>
        <w:pStyle w:val="Heading3"/>
      </w:pPr>
      <w:r>
        <w:rPr>
          <w:rFonts w:ascii="Times New Roman" w:hAnsi="Times New Roman"/>
        </w:rPr>
        <w:t>3.2 Gefahrerhöhung (Sub-Sub-Vergabe)</w:t>
      </w:r>
    </w:p>
    <w:p>
      <w:pPr>
        <w:jc w:val="left"/>
      </w:pPr>
      <w:r>
        <w:t>Die Argumentation der Helvetia bezüglich der Sub-Sub-Vergabe ist aus mehreren Gründen angreifbar:</w:t>
      </w:r>
    </w:p>
    <w:p>
      <w:pPr>
        <w:jc w:val="left"/>
      </w:pPr>
      <w:r>
        <w:t>(a) Schwarmstedt hat ausschließlich Petrescu Transport SRL beauftragt; die Weitervergabe durch Petrescu an Cojocaru Flota erfolgte ohne Wissen und Genehmigung von Schwarmstedt.</w:t>
      </w:r>
    </w:p>
    <w:p>
      <w:pPr>
        <w:jc w:val="left"/>
      </w:pPr>
      <w:r>
        <w:t>(b) Ein Verhalten des Subunternehmers, das dem Versicherungsnehmer nicht bekannt war und von ihm nicht kontrolliert werden konnte, kann keine anzeigepflichtige Gefahrerhöhung i.S.v. § 23 VVG durch den Versicherungsnehmer begründen.</w:t>
      </w:r>
    </w:p>
    <w:p>
      <w:pPr>
        <w:jc w:val="left"/>
      </w:pPr>
      <w:r>
        <w:t>(c) Die Kausalität zwischen der Sub-Sub-Vergabe und dem Kälteschaden ist nicht gegeben: Der Kühlkettenbruch wurde auf der Fahrt in dem Fahrzeug der Petrescu Transport SRL festgestellt, nicht in einem Fahrzeug der Cojocaru Flota.</w:t>
      </w:r>
    </w:p>
    <w:p/>
    <w:p>
      <w:pPr>
        <w:pStyle w:val="Heading2"/>
      </w:pPr>
      <w:r>
        <w:rPr>
          <w:rFonts w:ascii="Times New Roman" w:hAnsi="Times New Roman"/>
        </w:rPr>
        <w:t>4. Verfahren LG Hamburg 327 O 88/26</w:t>
      </w:r>
    </w:p>
    <w:p>
      <w:pPr>
        <w:jc w:val="left"/>
      </w:pPr>
      <w:r>
        <w:rPr>
          <w:b/>
        </w:rPr>
        <w:t>Klageziel:</w:t>
      </w:r>
      <w:r>
        <w:t xml:space="preserve"> Verurteilung der Helvetia Versicherungen AG zur Zahlung von 2.500.000 EUR (Deckungssumme je Schadensfall) zzgl. Zinsen ab 12.02.2026 (Datum Deckungsablehnung).</w:t>
      </w:r>
    </w:p>
    <w:p>
      <w:pPr>
        <w:jc w:val="left"/>
      </w:pPr>
      <w:r>
        <w:rPr>
          <w:b/>
        </w:rPr>
        <w:t>Zuständigkeit:</w:t>
      </w:r>
      <w:r>
        <w:t xml:space="preserve"> LG Hamburg — Gerichtsstand Hamburg nach Police-Bedingung § 37 AVB-Spedition 2020 (Erfüllungsort und Gerichtsstand: Sitz des Versicherers, Frankfurt; hilfsweise: allgemeiner Gerichtsstand des Versicherungsnehmers, Schwarmstedt/AG Walsrode; oder nach Wahl des Klägers: LG Hamburg nach § 215 ZPO bei Versicherungsverhältnis); tatsächliche Zuständigkeit noch zu prüfen — Kanzlei hat vorsorglich am LG Hamburg eingereicht, da dort große Transportversicherungskammer (Kammer 11 für Handelssachen) besteht.</w:t>
      </w:r>
    </w:p>
    <w:p>
      <w:pPr>
        <w:jc w:val="left"/>
      </w:pPr>
      <w:r>
        <w:rPr>
          <w:b/>
        </w:rPr>
        <w:t>Klage eingereicht:</w:t>
      </w:r>
      <w:r>
        <w:t xml:space="preserve"> 15. März 2026</w:t>
      </w:r>
    </w:p>
    <w:p>
      <w:pPr>
        <w:jc w:val="left"/>
      </w:pPr>
      <w:r>
        <w:rPr>
          <w:b/>
        </w:rPr>
        <w:t>Zustellungsdatum:</w:t>
      </w:r>
      <w:r>
        <w:t xml:space="preserve"> noch ausstehend</w:t>
      </w:r>
    </w:p>
    <w:p>
      <w:pPr>
        <w:jc w:val="left"/>
      </w:pPr>
      <w:r>
        <w:rPr>
          <w:b/>
        </w:rPr>
        <w:t>Gericht hat Aktenzeichen vergeben:</w:t>
      </w:r>
      <w:r>
        <w:t xml:space="preserve"> LG Hamburg 327 O 88/26</w:t>
      </w:r>
    </w:p>
    <w:p/>
    <w:p>
      <w:pPr>
        <w:pStyle w:val="Heading2"/>
      </w:pPr>
      <w:r>
        <w:rPr>
          <w:rFonts w:ascii="Times New Roman" w:hAnsi="Times New Roman"/>
        </w:rPr>
        <w:t>5. Schadensaufstellung für die Klage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Schadensposten</w:t>
            </w:r>
          </w:p>
        </w:tc>
        <w:tc>
          <w:tcPr>
            <w:tcW w:type="dxa" w:w="3024"/>
          </w:tcPr>
          <w:p>
            <w:r>
              <w:rPr>
                <w:rFonts w:ascii="Times New Roman" w:hAnsi="Times New Roman"/>
                <w:b/>
                <w:sz w:val="20"/>
              </w:rPr>
              <w:t>Betrag (EUR)</w:t>
            </w:r>
          </w:p>
        </w:tc>
        <w:tc>
          <w:tcPr>
            <w:tcW w:type="dxa" w:w="3024"/>
          </w:tcPr>
          <w:p>
            <w:r>
              <w:rPr>
                <w:rFonts w:ascii="Times New Roman" w:hAnsi="Times New Roman"/>
                <w:b/>
                <w:sz w:val="20"/>
              </w:rPr>
              <w:t>Anmerkung</w:t>
            </w:r>
          </w:p>
        </w:tc>
      </w:tr>
      <w:tr>
        <w:tc>
          <w:tcPr>
            <w:tcW w:type="dxa" w:w="3024"/>
          </w:tcPr>
          <w:p>
            <w:r>
              <w:rPr>
                <w:rFonts w:ascii="Times New Roman" w:hAnsi="Times New Roman"/>
                <w:sz w:val="20"/>
              </w:rPr>
              <w:t>Haftungsanspruch MediVita SE (Hauptschaden)</w:t>
            </w:r>
          </w:p>
        </w:tc>
        <w:tc>
          <w:tcPr>
            <w:tcW w:type="dxa" w:w="3024"/>
          </w:tcPr>
          <w:p>
            <w:r>
              <w:rPr>
                <w:rFonts w:ascii="Times New Roman" w:hAnsi="Times New Roman"/>
                <w:sz w:val="20"/>
              </w:rPr>
              <w:t>8.208.000</w:t>
            </w:r>
          </w:p>
        </w:tc>
        <w:tc>
          <w:tcPr>
            <w:tcW w:type="dxa" w:w="3024"/>
          </w:tcPr>
          <w:p>
            <w:r>
              <w:rPr>
                <w:rFonts w:ascii="Times New Roman" w:hAnsi="Times New Roman"/>
                <w:sz w:val="20"/>
              </w:rPr>
              <w:t>Aus CMR — Art. 23 Abs. 3 CMR: max. ca. 3.603 EUR, aber Art. 29 CMR könnte Deckelung aufheben</w:t>
            </w:r>
          </w:p>
        </w:tc>
      </w:tr>
      <w:tr>
        <w:tc>
          <w:tcPr>
            <w:tcW w:type="dxa" w:w="3024"/>
          </w:tcPr>
          <w:p>
            <w:r>
              <w:rPr>
                <w:rFonts w:ascii="Times New Roman" w:hAnsi="Times New Roman"/>
                <w:sz w:val="20"/>
              </w:rPr>
              <w:t>Deckungssumme Police Helvetia</w:t>
            </w:r>
          </w:p>
        </w:tc>
        <w:tc>
          <w:tcPr>
            <w:tcW w:type="dxa" w:w="3024"/>
          </w:tcPr>
          <w:p>
            <w:r>
              <w:rPr>
                <w:rFonts w:ascii="Times New Roman" w:hAnsi="Times New Roman"/>
                <w:sz w:val="20"/>
              </w:rPr>
              <w:t>2.500.000</w:t>
            </w:r>
          </w:p>
        </w:tc>
        <w:tc>
          <w:tcPr>
            <w:tcW w:type="dxa" w:w="3024"/>
          </w:tcPr>
          <w:p>
            <w:r>
              <w:rPr>
                <w:rFonts w:ascii="Times New Roman" w:hAnsi="Times New Roman"/>
                <w:sz w:val="20"/>
              </w:rPr>
              <w:t>Police-Maximum je Schadensfall</w:t>
            </w:r>
          </w:p>
        </w:tc>
      </w:tr>
      <w:tr>
        <w:tc>
          <w:tcPr>
            <w:tcW w:type="dxa" w:w="3024"/>
          </w:tcPr>
          <w:p>
            <w:r>
              <w:rPr>
                <w:rFonts w:ascii="Times New Roman" w:hAnsi="Times New Roman"/>
                <w:sz w:val="20"/>
              </w:rPr>
              <w:t>Klagesumme gegen Helvetia</w:t>
            </w:r>
          </w:p>
        </w:tc>
        <w:tc>
          <w:tcPr>
            <w:tcW w:type="dxa" w:w="3024"/>
          </w:tcPr>
          <w:p>
            <w:r>
              <w:rPr>
                <w:rFonts w:ascii="Times New Roman" w:hAnsi="Times New Roman"/>
                <w:sz w:val="20"/>
              </w:rPr>
              <w:t>2.500.000</w:t>
            </w:r>
          </w:p>
        </w:tc>
        <w:tc>
          <w:tcPr>
            <w:tcW w:type="dxa" w:w="3024"/>
          </w:tcPr>
          <w:p>
            <w:r>
              <w:rPr>
                <w:rFonts w:ascii="Times New Roman" w:hAnsi="Times New Roman"/>
                <w:sz w:val="20"/>
              </w:rPr>
              <w:t>Maximale Forderung aus Police</w:t>
            </w:r>
          </w:p>
        </w:tc>
      </w:tr>
      <w:tr>
        <w:tc>
          <w:tcPr>
            <w:tcW w:type="dxa" w:w="3024"/>
          </w:tcPr>
          <w:p>
            <w:r>
              <w:rPr>
                <w:rFonts w:ascii="Times New Roman" w:hAnsi="Times New Roman"/>
                <w:sz w:val="20"/>
              </w:rPr>
              <w:t>Eigenanteil Schwarmstedt (ungedeckt)</w:t>
            </w:r>
          </w:p>
        </w:tc>
        <w:tc>
          <w:tcPr>
            <w:tcW w:type="dxa" w:w="3024"/>
          </w:tcPr>
          <w:p>
            <w:r>
              <w:rPr>
                <w:rFonts w:ascii="Times New Roman" w:hAnsi="Times New Roman"/>
                <w:sz w:val="20"/>
              </w:rPr>
              <w:t>5.708.000 (theoretisch, falls Art. 29 CMR bejaht)</w:t>
            </w:r>
          </w:p>
        </w:tc>
        <w:tc>
          <w:tcPr>
            <w:tcW w:type="dxa" w:w="3024"/>
          </w:tcPr>
          <w:p>
            <w:r>
              <w:rPr>
                <w:rFonts w:ascii="Times New Roman" w:hAnsi="Times New Roman"/>
                <w:sz w:val="20"/>
              </w:rPr>
              <w:t>Plus Folgekosten MediVita</w:t>
            </w:r>
          </w:p>
        </w:tc>
      </w:tr>
    </w:tbl>
    <w:p/>
    <w:p>
      <w:pPr>
        <w:pStyle w:val="Heading2"/>
      </w:pPr>
      <w:r>
        <w:rPr>
          <w:rFonts w:ascii="Times New Roman" w:hAnsi="Times New Roman"/>
        </w:rPr>
        <w:t>6. Nächste Schritte</w:t>
      </w:r>
    </w:p>
    <w:p>
      <w:pPr>
        <w:pStyle w:val="ListBullet"/>
      </w:pPr>
      <w:r>
        <w:t>[ ] Klagebegründung (DOCX) — Frist: 22. April 2026 (gesetzt durch LG Hamburg)</w:t>
      </w:r>
    </w:p>
    <w:p>
      <w:pPr>
        <w:pStyle w:val="ListBullet"/>
      </w:pPr>
      <w:r>
        <w:t>[ ] Anforderung vollständige Police inkl. aller Anhänge und Klauseln</w:t>
      </w:r>
    </w:p>
    <w:p>
      <w:pPr>
        <w:pStyle w:val="ListBullet"/>
      </w:pPr>
      <w:r>
        <w:t>[ ] AVB-Spedition 2020 auf AGB-Kontrolle (§§ 305 ff. BGB): Ist § 31 AVB-Spedition 2020 (72-h-Frist) als überraschende oder unangemessen belastende Klausel angreifbar?</w:t>
      </w:r>
    </w:p>
    <w:p>
      <w:pPr>
        <w:pStyle w:val="ListBullet"/>
      </w:pPr>
      <w:r>
        <w:t>[ ] Anforderung Schadensakte Helvetia (Az. SL-2026-00198) per Akteneinsichtsrecht (§ 3 Nr. 5 VVG)</w:t>
      </w:r>
    </w:p>
    <w:p>
      <w:pPr>
        <w:pStyle w:val="ListBullet"/>
      </w:pPr>
      <w:r>
        <w:t>[ ] Kausalitätsprüfung: War die verzögerte Meldung kausal für Erschwerung der Schadensfeststellung?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Helvetia Versicherungen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Helvetia Versicherungen AG</w:t>
    </w:r>
  </w:p>
  <w:p>
    <w:pPr>
      <w:jc w:val="left"/>
      <w:pBdr>
        <w:bottom w:val="single" w:sz="6" w:space="2" w:color="3B3F45"/>
      </w:pBdr>
    </w:pPr>
    <w:r>
      <w:rPr>
        <w:rFonts w:ascii="Times New Roman" w:hAnsi="Times New Roman"/>
        <w:color w:val="6B6B66"/>
        <w:sz w:val="16"/>
      </w:rPr>
      <w:t>Weißfrauenstraße 9, 60311 Frankfurt am Main · 327 O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