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Überlader-Regress — Boeschke Kühl &amp; Frische GmbH</w:t>
      </w:r>
    </w:p>
    <w:p>
      <w:pPr>
        <w:jc w:val="left"/>
      </w:pPr>
      <w:r>
        <w:t>Akte: Regressforderung Schwarmstedt ./. Boeschke Kühl &amp; Frische GmbH</w:t>
      </w:r>
    </w:p>
    <w:p>
      <w:pPr>
        <w:jc w:val="left"/>
      </w:pPr>
      <w:r>
        <w:t>Verfasserin: RAin Dr. Antonia Hammerschmidt</w:t>
      </w:r>
    </w:p>
    <w:p>
      <w:pPr>
        <w:jc w:val="left"/>
      </w:pPr>
      <w:r>
        <w:t>Stand: 08. April 2026</w:t>
      </w:r>
    </w:p>
    <w:p/>
    <w:p>
      <w:pPr>
        <w:pStyle w:val="Heading2"/>
      </w:pPr>
      <w:r>
        <w:rPr>
          <w:rFonts w:ascii="Times New Roman" w:hAnsi="Times New Roman"/>
        </w:rPr>
        <w:t>1. Sachverhalt</w:t>
      </w:r>
    </w:p>
    <w:p>
      <w:pPr>
        <w:pStyle w:val="Heading3"/>
      </w:pPr>
      <w:r>
        <w:rPr>
          <w:rFonts w:ascii="Times New Roman" w:hAnsi="Times New Roman"/>
        </w:rPr>
        <w:t>1.1 Der Reifenplatzer-Vorfall</w:t>
      </w:r>
    </w:p>
    <w:p>
      <w:pPr>
        <w:jc w:val="left"/>
      </w:pPr>
      <w:r>
        <w:t>Am 17. November 2025 gegen 14:35 Uhr platzte auf der BAB A7 in Fahrtrichtung Süd bei Kilometer 345,4 (Abschnitt Seesen/Harz) ein Reifen an der Antriebsachse eines Schwarmstedt-Sattelzugs (MAN TGX 26.580, Kennzeichen NI-SL-4892) mit Kühlauflieger (Thermoschlüssel Transport, Ladung: gekühlte Fleischwaren für Hamburger Großmarkt). Es entstand kein Personenschaden; der Fahrer (Georg Hillenbrand, 51) steuerte das Fahrzeug sicher auf den Seitenstreifen.</w:t>
      </w:r>
    </w:p>
    <w:p>
      <w:pPr>
        <w:jc w:val="left"/>
      </w:pPr>
      <w:r>
        <w:t>Die nachfolgende Untersuchung durch die BAB-Polizei (Autobahnpolizeistation Hildesheim, Az. 27-AP-2025-7834) und den DEKRA-Sachverständigen (Gutachten DEKRA-HAN-2025-4421, Dr. Ing. Tobias Schönberger) ergab:</w:t>
      </w:r>
    </w:p>
    <w:p>
      <w:pPr>
        <w:pStyle w:val="ListBullet"/>
      </w:pPr>
      <w:r>
        <w:t>Fahrzeuggewicht im beladenen Zustand: 44.200 kg (zulässiges Gesamtgewicht: 40.000 kg gemäß § 34 StVZO)</w:t>
      </w:r>
    </w:p>
    <w:p>
      <w:pPr>
        <w:pStyle w:val="ListBullet"/>
      </w:pPr>
      <w:r>
        <w:t>Überladung: 4.200 kg (=10,5%)</w:t>
      </w:r>
    </w:p>
    <w:p>
      <w:pPr>
        <w:pStyle w:val="ListBullet"/>
      </w:pPr>
      <w:r>
        <w:t>Reifenschaden: Durch Überhitzung des Reifens infolge Überladung (Wärmebildkamera-Analyse DEKRA)</w:t>
      </w:r>
    </w:p>
    <w:p>
      <w:pPr>
        <w:pStyle w:val="ListBullet"/>
      </w:pPr>
      <w:r>
        <w:t>Verladesituation: Die Überladung resultiert aus der Verladung durch die Boeschke Kühl &amp; Frische GmbH, Hamburg, an deren Laderampe (Große Elbstraße 227, Hamburg-Altona) am 16. November 2025</w:t>
      </w:r>
    </w:p>
    <w:p>
      <w:pPr>
        <w:pStyle w:val="Heading3"/>
      </w:pPr>
      <w:r>
        <w:rPr>
          <w:rFonts w:ascii="Times New Roman" w:hAnsi="Times New Roman"/>
        </w:rPr>
        <w:t>1.2 Schadensaufstellung Schwarmstedt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Schadensposten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DEKRA-Gutachten</w:t>
            </w:r>
          </w:p>
        </w:tc>
        <w:tc>
          <w:tcPr>
            <w:tcW w:type="dxa" w:w="4536"/>
          </w:tcPr>
          <w:p>
            <w:r>
              <w:rPr>
                <w:rFonts w:ascii="Times New Roman" w:hAnsi="Times New Roman"/>
                <w:sz w:val="20"/>
              </w:rPr>
              <w:t>2.400</w:t>
            </w:r>
          </w:p>
        </w:tc>
      </w:tr>
      <w:tr>
        <w:tc>
          <w:tcPr>
            <w:tcW w:type="dxa" w:w="4536"/>
          </w:tcPr>
          <w:p>
            <w:r>
              <w:rPr>
                <w:rFonts w:ascii="Times New Roman" w:hAnsi="Times New Roman"/>
                <w:sz w:val="20"/>
              </w:rPr>
              <w:t>Abschleppkosten A7 (Pannenservice Sülter)</w:t>
            </w:r>
          </w:p>
        </w:tc>
        <w:tc>
          <w:tcPr>
            <w:tcW w:type="dxa" w:w="4536"/>
          </w:tcPr>
          <w:p>
            <w:r>
              <w:rPr>
                <w:rFonts w:ascii="Times New Roman" w:hAnsi="Times New Roman"/>
                <w:sz w:val="20"/>
              </w:rPr>
              <w:t>3.800</w:t>
            </w:r>
          </w:p>
        </w:tc>
      </w:tr>
      <w:tr>
        <w:tc>
          <w:tcPr>
            <w:tcW w:type="dxa" w:w="4536"/>
          </w:tcPr>
          <w:p>
            <w:r>
              <w:rPr>
                <w:rFonts w:ascii="Times New Roman" w:hAnsi="Times New Roman"/>
                <w:sz w:val="20"/>
              </w:rPr>
              <w:t>Reparatur LKW-Reifen und Radaufhängung</w:t>
            </w:r>
          </w:p>
        </w:tc>
        <w:tc>
          <w:tcPr>
            <w:tcW w:type="dxa" w:w="4536"/>
          </w:tcPr>
          <w:p>
            <w:r>
              <w:rPr>
                <w:rFonts w:ascii="Times New Roman" w:hAnsi="Times New Roman"/>
                <w:sz w:val="20"/>
              </w:rPr>
              <w:t>8.200</w:t>
            </w:r>
          </w:p>
        </w:tc>
      </w:tr>
      <w:tr>
        <w:tc>
          <w:tcPr>
            <w:tcW w:type="dxa" w:w="4536"/>
          </w:tcPr>
          <w:p>
            <w:r>
              <w:rPr>
                <w:rFonts w:ascii="Times New Roman" w:hAnsi="Times New Roman"/>
                <w:sz w:val="20"/>
              </w:rPr>
              <w:t>Verlust Frachtlohn (Verspätung, Teilladung verdorben)</w:t>
            </w:r>
          </w:p>
        </w:tc>
        <w:tc>
          <w:tcPr>
            <w:tcW w:type="dxa" w:w="4536"/>
          </w:tcPr>
          <w:p>
            <w:r>
              <w:rPr>
                <w:rFonts w:ascii="Times New Roman" w:hAnsi="Times New Roman"/>
                <w:sz w:val="20"/>
              </w:rPr>
              <w:t>11.000</w:t>
            </w:r>
          </w:p>
        </w:tc>
      </w:tr>
      <w:tr>
        <w:tc>
          <w:tcPr>
            <w:tcW w:type="dxa" w:w="4536"/>
          </w:tcPr>
          <w:p>
            <w:r>
              <w:rPr>
                <w:rFonts w:ascii="Times New Roman" w:hAnsi="Times New Roman"/>
                <w:sz w:val="20"/>
              </w:rPr>
              <w:t>Bußgeld BAB-Polizei gegen Fahrer (§ 34 StVZO)</w:t>
            </w:r>
          </w:p>
        </w:tc>
        <w:tc>
          <w:tcPr>
            <w:tcW w:type="dxa" w:w="4536"/>
          </w:tcPr>
          <w:p>
            <w:r>
              <w:rPr>
                <w:rFonts w:ascii="Times New Roman" w:hAnsi="Times New Roman"/>
                <w:sz w:val="20"/>
              </w:rPr>
              <w:t>400</w:t>
            </w:r>
          </w:p>
        </w:tc>
      </w:tr>
      <w:tr>
        <w:tc>
          <w:tcPr>
            <w:tcW w:type="dxa" w:w="4536"/>
          </w:tcPr>
          <w:p>
            <w:r>
              <w:rPr>
                <w:rFonts w:ascii="Times New Roman" w:hAnsi="Times New Roman"/>
                <w:sz w:val="20"/>
              </w:rPr>
              <w:t>BALM-Bußgeld gegen Schwarmstedt (Überladung)</w:t>
            </w:r>
          </w:p>
        </w:tc>
        <w:tc>
          <w:tcPr>
            <w:tcW w:type="dxa" w:w="4536"/>
          </w:tcPr>
          <w:p>
            <w:r>
              <w:rPr>
                <w:rFonts w:ascii="Times New Roman" w:hAnsi="Times New Roman"/>
                <w:sz w:val="20"/>
              </w:rPr>
              <w:t>5.000</w:t>
            </w:r>
          </w:p>
        </w:tc>
      </w:tr>
      <w:tr>
        <w:tc>
          <w:tcPr>
            <w:tcW w:type="dxa" w:w="4536"/>
          </w:tcPr>
          <w:p>
            <w:r>
              <w:rPr>
                <w:rFonts w:ascii="Times New Roman" w:hAnsi="Times New Roman"/>
                <w:sz w:val="20"/>
              </w:rPr>
              <w:t>Anwaltskosten (anteilig)</w:t>
            </w:r>
          </w:p>
        </w:tc>
        <w:tc>
          <w:tcPr>
            <w:tcW w:type="dxa" w:w="4536"/>
          </w:tcPr>
          <w:p>
            <w:r>
              <w:rPr>
                <w:rFonts w:ascii="Times New Roman" w:hAnsi="Times New Roman"/>
                <w:sz w:val="20"/>
              </w:rPr>
              <w:t>3.800</w:t>
            </w:r>
          </w:p>
        </w:tc>
      </w:tr>
      <w:tr>
        <w:tc>
          <w:tcPr>
            <w:tcW w:type="dxa" w:w="4536"/>
          </w:tcPr>
          <w:p>
            <w:r>
              <w:rPr>
                <w:rFonts w:ascii="Times New Roman" w:hAnsi="Times New Roman"/>
                <w:sz w:val="20"/>
              </w:rPr>
              <w:t>Gesamtforderung (vorläufig)</w:t>
            </w:r>
          </w:p>
        </w:tc>
        <w:tc>
          <w:tcPr>
            <w:tcW w:type="dxa" w:w="4536"/>
          </w:tcPr>
          <w:p>
            <w:r>
              <w:rPr>
                <w:rFonts w:ascii="Times New Roman" w:hAnsi="Times New Roman"/>
                <w:sz w:val="20"/>
              </w:rPr>
              <w:t>34.600</w:t>
            </w:r>
          </w:p>
        </w:tc>
      </w:tr>
    </w:tbl>
    <w:p>
      <w:pPr>
        <w:jc w:val="left"/>
      </w:pPr>
      <w:r>
        <w:t>Hinzu kommt ein möglicherweise entstehender Reputationsschaden (Mandant noch nicht beziffert) und erhöhte Versicherungsprämien (Hochrechnung ca. 4.000 EUR über 3 Jahre).</w:t>
      </w:r>
    </w:p>
    <w:p/>
    <w:p>
      <w:pPr>
        <w:pStyle w:val="Heading2"/>
      </w:pPr>
      <w:r>
        <w:rPr>
          <w:rFonts w:ascii="Times New Roman" w:hAnsi="Times New Roman"/>
        </w:rPr>
        <w:t>2. Rechtliche Grundlagen der Verlader-Haftung</w:t>
      </w:r>
    </w:p>
    <w:p>
      <w:pPr>
        <w:pStyle w:val="Heading3"/>
      </w:pPr>
      <w:r>
        <w:rPr>
          <w:rFonts w:ascii="Times New Roman" w:hAnsi="Times New Roman"/>
        </w:rPr>
        <w:t>2.1 § 414 HGB — Haftung des Absenders für unrichtige Angaben</w:t>
      </w:r>
    </w:p>
    <w:p>
      <w:pPr>
        <w:jc w:val="left"/>
      </w:pPr>
      <w:r>
        <w:t>§ 414 Abs. 1 HGB: "Der Absender haftet dem Frachtführer für alle Schäden und Aufwendungen, die dadurch entstehen, dass die zur Erfüllung des Frachtvertrags erforderlichen Angaben und Informationen [...] unrichtig oder unvollständig sind."</w:t>
      </w:r>
    </w:p>
    <w:p>
      <w:pPr>
        <w:jc w:val="left"/>
      </w:pPr>
      <w:r>
        <w:t>§ 414 Abs. 2 HGB: "Der Absender haftet, soweit der Frachtführer den Schaden nicht durch zumutbare Maßnahmen abwenden konnte."</w:t>
      </w:r>
    </w:p>
    <w:p>
      <w:pPr>
        <w:jc w:val="left"/>
      </w:pPr>
      <w:r>
        <w:t>Im vorliegenden Fall: Boeschke hat Gewichtsangaben gemacht (Lieferschein Boeschke Nr. BKF-2025-LN-3341: "Gewicht netto 26.400 kg"). Die tatsächliche Ladung war schwerer. Ob die Angabe unrichtig war (zu geringes Gewicht angegeben) oder ob nach der Verladung nachträgliche Gewichtsverschiebungen auftraten, ist zu klären.</w:t>
      </w:r>
    </w:p>
    <w:p>
      <w:pPr>
        <w:pStyle w:val="Heading3"/>
      </w:pPr>
      <w:r>
        <w:rPr>
          <w:rFonts w:ascii="Times New Roman" w:hAnsi="Times New Roman"/>
        </w:rPr>
        <w:t>2.2 § 22 StVO — Verlader-Haftung bei Überladung</w:t>
      </w:r>
    </w:p>
    <w:p>
      <w:pPr>
        <w:jc w:val="left"/>
      </w:pPr>
      <w:r>
        <w:t>§ 22 Abs. 1 StVO: "Die Ladung einschließlich Geräte zur Ladungssicherung und Hilfsmittel sind so zu verstauen und zu sichern, dass sie selbst bei Vollbremsung oder plötzlicher Ausweichbewegung nicht verrutschen, umfallen, hin- und herrollen, herabfallen oder unnötigen Lärm erzeugen können."</w:t>
      </w:r>
    </w:p>
    <w:p>
      <w:pPr>
        <w:jc w:val="left"/>
      </w:pPr>
      <w:r>
        <w:t>§ 22 Abs. 3 StVO: "Wer ein Fahrzeug führt, ist dafür verantwortlich, dass das Fahrzeug und die Ladung den Vorschriften entsprechen."</w:t>
      </w:r>
    </w:p>
    <w:p>
      <w:pPr>
        <w:jc w:val="left"/>
      </w:pPr>
      <w:r>
        <w:t>Die primäre Verantwortung für die zulässige Ladung trägt zwar der Fahrer (§ 22 Abs. 3 StVO), aber der Verlader ist nach h.M. mitverantwortlich, wenn er das Fahrzeug mit übermäßiger Ladung bestückt und der Fahrer die Überladung nicht erkennen konnte (keine Wiegeanlage an der Laderampe vorhanden).</w:t>
      </w:r>
    </w:p>
    <w:p>
      <w:pPr>
        <w:pStyle w:val="Heading3"/>
      </w:pPr>
      <w:r>
        <w:rPr>
          <w:rFonts w:ascii="Times New Roman" w:hAnsi="Times New Roman"/>
        </w:rPr>
        <w:t>2.3 § 425 Abs. 1 HGB i.V.m. § 280 BGB</w:t>
      </w:r>
    </w:p>
    <w:p>
      <w:pPr>
        <w:jc w:val="left"/>
      </w:pPr>
      <w:r>
        <w:t>Der Frachtführer kann auch vertragliche Schadensersatzansprüche gegen den Absender geltend machen, wenn die Überladung eine Vertragspflichtverletzung (§ 311 HGB i.V.m. allgemeiner Transportvertragspflicht) darstellt.</w:t>
      </w:r>
    </w:p>
    <w:p/>
    <w:p>
      <w:pPr>
        <w:pStyle w:val="Heading2"/>
      </w:pPr>
      <w:r>
        <w:rPr>
          <w:rFonts w:ascii="Times New Roman" w:hAnsi="Times New Roman"/>
        </w:rPr>
        <w:t>3. Mitverschulden Schwarmstedt?</w:t>
      </w:r>
    </w:p>
    <w:p>
      <w:pPr>
        <w:pStyle w:val="Heading3"/>
      </w:pPr>
      <w:r>
        <w:rPr>
          <w:rFonts w:ascii="Times New Roman" w:hAnsi="Times New Roman"/>
        </w:rPr>
        <w:t>3.1 Fahrerpflicht zur Gewichtskontrolle</w:t>
      </w:r>
    </w:p>
    <w:p>
      <w:pPr>
        <w:jc w:val="left"/>
      </w:pPr>
      <w:r>
        <w:t>Der Fahrer eines Schwerlastzugs ist nach § 31 Abs. 2 StVZO und § 22 Abs. 3 StVO verpflichtet, das zulässige Gesamtgewicht einzuhalten. Kann er vor Fahrtantritt nicht mit Sicherheit sagen, dass das Gewicht eingehalten wird, muss er auf eine Verwiegung bestehen.</w:t>
      </w:r>
    </w:p>
    <w:p>
      <w:pPr>
        <w:jc w:val="left"/>
      </w:pPr>
      <w:r>
        <w:t>Im vorliegenden Fall: Die Boeschke-Laderampe hat keine öffentlich zugängliche Fahrzeugwaage. Der nächste öffentliche Wiegebetrieb (BAM-Wiegeplatz Hamburg-Hafenstraße) liegt 4,1 km entfernt. Es besteht kein Hinweis darauf, dass Fahrer Hillenbrand einen Überladungsverdacht hatte.</w:t>
      </w:r>
    </w:p>
    <w:p>
      <w:pPr>
        <w:jc w:val="left"/>
      </w:pPr>
      <w:r>
        <w:rPr>
          <w:b/>
        </w:rPr>
        <w:t>BAB-Polizei hat kein Bußgeld gegen Hillenbrand persönlich</w:t>
      </w:r>
      <w:r>
        <w:t xml:space="preserve"> wegen Überladung verhängt (nur wegen § 34 StVZO gegen das Unternehmen Schwarmstedt). Dies spricht gegen ein erhebliches Mitverschulden des Fahrers.</w:t>
      </w:r>
    </w:p>
    <w:p>
      <w:pPr>
        <w:pStyle w:val="Heading3"/>
      </w:pPr>
      <w:r>
        <w:rPr>
          <w:rFonts w:ascii="Times New Roman" w:hAnsi="Times New Roman"/>
        </w:rPr>
        <w:t>3.2 BALM-Bußgeld gegen Schwarmstedt</w:t>
      </w:r>
    </w:p>
    <w:p>
      <w:pPr>
        <w:jc w:val="left"/>
      </w:pPr>
      <w:r>
        <w:t>Das BALM hat Schwarmstedt Logistik GmbH wegen Überladung mit 5.000 EUR Bußgeld belegt. Dieses Bußgeld ist Teil der Regressforderung gegen Boeschke.</w:t>
      </w:r>
    </w:p>
    <w:p/>
    <w:p>
      <w:pPr>
        <w:pStyle w:val="Heading2"/>
      </w:pPr>
      <w:r>
        <w:rPr>
          <w:rFonts w:ascii="Times New Roman" w:hAnsi="Times New Roman"/>
        </w:rPr>
        <w:t>4. Schriftverkehr und Verhandlungsstand</w:t>
      </w:r>
    </w:p>
    <w:p>
      <w:pPr>
        <w:jc w:val="left"/>
      </w:pPr>
      <w:r>
        <w:rPr>
          <w:b/>
        </w:rPr>
        <w:t>Brief Schwarmstedt (RAin Hammerschmidt) an Boeschke, 10. März 2026:</w:t>
      </w:r>
    </w:p>
    <w:p>
      <w:pPr>
        <w:jc w:val="left"/>
      </w:pPr>
      <w:r>
        <w:t>Aufforderung zur Zahlung von 34.600 EUR bis 30. März 2026.</w:t>
      </w:r>
    </w:p>
    <w:p>
      <w:pPr>
        <w:jc w:val="left"/>
      </w:pPr>
      <w:r>
        <w:rPr>
          <w:b/>
        </w:rPr>
        <w:t>Antwort RA Dr. Perlbach (für Boeschke), 27. März 2026:</w:t>
      </w:r>
    </w:p>
    <w:p>
      <w:pPr>
        <w:jc w:val="left"/>
      </w:pPr>
      <w:r>
        <w:t>Boeschke bestreitet die Überladung als von ihr verursacht: "Die Wiegeprotokolle unseres Betriebslagers weisen ein Nettogewicht von 26.400 kg aus. Wenn das tatsächliche Gewicht abweicht, deutet dies auf eine fehlerhafte Produktion oder Deklaration durch den Vorlieferanten hin. Boeschke hat ihren Teil der Sorgfaltspflichten erfüllt." Ablehnung der Zahlung.</w:t>
      </w:r>
    </w:p>
    <w:p>
      <w:pPr>
        <w:jc w:val="left"/>
      </w:pPr>
      <w:r>
        <w:rPr>
          <w:b/>
        </w:rPr>
        <w:t>Bewertung:</w:t>
      </w:r>
      <w:r>
        <w:t xml:space="preserve"> Schwarmstedt muss beweisen, dass die Überladung aus dem Beladungsvorgang bei Boeschke resultierte, nicht aus einem anderweitigen Grund. Das DEKRA-Gutachten ist hilfreich; entscheidend ist die Frage, ob Boeschke tatsächlich die im Lieferschein deklarierten Gewichtsangaben kannte und ob diese falsch waren.</w:t>
      </w:r>
    </w:p>
    <w:p/>
    <w:p>
      <w:pPr>
        <w:pStyle w:val="Heading2"/>
      </w:pPr>
      <w:r>
        <w:rPr>
          <w:rFonts w:ascii="Times New Roman" w:hAnsi="Times New Roman"/>
        </w:rPr>
        <w:t>5. Klageerhebung</w:t>
      </w:r>
    </w:p>
    <w:p>
      <w:pPr>
        <w:jc w:val="left"/>
      </w:pPr>
      <w:r>
        <w:t>Falls keine außergerichtliche Einigung bis 30. April 2026:</w:t>
      </w:r>
    </w:p>
    <w:p>
      <w:pPr>
        <w:pStyle w:val="ListBullet"/>
      </w:pPr>
      <w:r>
        <w:t>Klage beim LG Hamburg (Gerichtsstand Hamburg — Sitz Boeschke) oder LG Hannover (Erfüllungsort)</w:t>
      </w:r>
    </w:p>
    <w:p>
      <w:pPr>
        <w:pStyle w:val="ListBullet"/>
      </w:pPr>
      <w:r>
        <w:t>Klagesumme: 34.600 EUR (+ weitere Schäden vorzubehalten)</w:t>
      </w:r>
    </w:p>
    <w:p>
      <w:pPr>
        <w:pStyle w:val="ListBullet"/>
      </w:pPr>
      <w:r>
        <w:t>Beweisangebot: DEKRA-Gutachten Schönberger, Lieferschein BKF-2025-LN-3341, BAB-Polizei-Protokoll, Zeugenaussage Fahrer Hillenbrand</w:t>
      </w:r>
    </w:p>
    <w:p/>
    <w:p>
      <w:pPr>
        <w:pStyle w:val="Heading2"/>
      </w:pPr>
      <w:r>
        <w:rPr>
          <w:rFonts w:ascii="Times New Roman" w:hAnsi="Times New Roman"/>
        </w:rPr>
        <w:t>6. Parallelverfahren BALM-Bußgeld (Überladung)</w:t>
      </w:r>
    </w:p>
    <w:p>
      <w:pPr>
        <w:jc w:val="left"/>
      </w:pPr>
      <w:r>
        <w:t>Schwarmstedt hat das BALM-Bußgeld (5.000 EUR) akzeptiert und nicht mit Einspruch angefochten, da die Verantwortlichkeit als Fahrzeughalter nach § 31 Abs. 2 StVZO rechtlich eindeutig ist. Das Bußgeld wird im Regressprozess gegen Boeschke als Schadensposition eingefordert.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Boeschke Kühl &amp; Frische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Boeschke Kühl &amp; Frische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