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GDP-Konformität und ADR-Zertifizierung — Pharmatransport</w:t>
      </w:r>
    </w:p>
    <w:p>
      <w:pPr>
        <w:jc w:val="left"/>
      </w:pPr>
      <w:r>
        <w:t>Akte: Compliance-Grundlagen / Schwarmstedt Logistik GmbH</w:t>
      </w:r>
    </w:p>
    <w:p>
      <w:pPr>
        <w:jc w:val="left"/>
      </w:pPr>
      <w:r>
        <w:t>Verfasserin: RAin Dr. Antonia Hammerschmidt</w:t>
      </w:r>
    </w:p>
    <w:p>
      <w:pPr>
        <w:jc w:val="left"/>
      </w:pPr>
      <w:r>
        <w:t>Stand: 12. April 2026</w:t>
      </w:r>
    </w:p>
    <w:p/>
    <w:p>
      <w:pPr>
        <w:pStyle w:val="Heading2"/>
      </w:pPr>
      <w:r>
        <w:rPr>
          <w:rFonts w:ascii="Times New Roman" w:hAnsi="Times New Roman"/>
        </w:rPr>
        <w:t>1. Good Distribution Practice (GDP) — Rechtsrahmen</w:t>
      </w:r>
    </w:p>
    <w:p>
      <w:pPr>
        <w:pStyle w:val="Heading3"/>
      </w:pPr>
      <w:r>
        <w:rPr>
          <w:rFonts w:ascii="Times New Roman" w:hAnsi="Times New Roman"/>
        </w:rPr>
        <w:t>1.1 Rechtsgrundlage</w:t>
      </w:r>
    </w:p>
    <w:p>
      <w:pPr>
        <w:jc w:val="left"/>
      </w:pPr>
      <w:r>
        <w:t>Die GDP-Leitlinien für den Vertrieb von Humanarzneimitteln in der EU sind in der Delegierten Verordnung (EU) 2017/1569 der Kommission sowie in den Leitlinien für die Gute Vertriebspraxis für Humanarzneimittel (EMA-Leitlinien 2013, veröffentlicht im Amtsblatt der EU 2013/C 68/01, aktualisiert 2021) niedergelegt. Diese Leitlinien haben nach § 52b Abs. 1 AMG i.V.m. § 4a AMG verbindlichen Charakter für Pharmalogistik-Unternehmen, die Arzneimittel transportieren.</w:t>
      </w:r>
    </w:p>
    <w:p>
      <w:pPr>
        <w:pStyle w:val="Heading3"/>
      </w:pPr>
      <w:r>
        <w:rPr>
          <w:rFonts w:ascii="Times New Roman" w:hAnsi="Times New Roman"/>
        </w:rPr>
        <w:t>1.2 Wesentliche GDP-Anforderungen für Kühlkettentransporte</w:t>
      </w:r>
    </w:p>
    <w:p>
      <w:pPr>
        <w:jc w:val="left"/>
      </w:pPr>
      <w:r>
        <w:rPr>
          <w:b/>
        </w:rPr>
        <w:t>Temperaturkontrolle:</w:t>
      </w:r>
      <w:r>
        <w:t xml:space="preserve"> GDP-Abschnitt 9.2 "Transportation" verpflichtet dazu:</w:t>
      </w:r>
    </w:p>
    <w:p>
      <w:pPr>
        <w:pStyle w:val="ListBullet"/>
      </w:pPr>
      <w:r>
        <w:t>Validierte Transportbehälter und -fahrzeuge</w:t>
      </w:r>
    </w:p>
    <w:p>
      <w:pPr>
        <w:pStyle w:val="ListBullet"/>
      </w:pPr>
      <w:r>
        <w:t>Temperaturüberwachung während des gesamten Transports</w:t>
      </w:r>
    </w:p>
    <w:p>
      <w:pPr>
        <w:pStyle w:val="ListBullet"/>
      </w:pPr>
      <w:r>
        <w:t>Dokumentierte Qualifizierung aller Transportrouten (Transport Qualification, TQ)</w:t>
      </w:r>
    </w:p>
    <w:p>
      <w:pPr>
        <w:pStyle w:val="ListBullet"/>
      </w:pPr>
      <w:r>
        <w:t>Risikoanalyse der Transportbedingungen (inkl. saisonale Schwankungen)</w:t>
      </w:r>
    </w:p>
    <w:p>
      <w:pPr>
        <w:pStyle w:val="ListBullet"/>
      </w:pPr>
      <w:r>
        <w:t>Fahrerschulung zu GDP-Anforderungen und zu notfallmäßigem Handeln bei Temperaturabweichungen</w:t>
      </w:r>
    </w:p>
    <w:p>
      <w:pPr>
        <w:jc w:val="left"/>
      </w:pPr>
      <w:r>
        <w:rPr>
          <w:b/>
        </w:rPr>
        <w:t>Qualifizierung des Frachtführers:</w:t>
      </w:r>
      <w:r>
        <w:t xml:space="preserve"> Pharmahersteller (hier: MediVita SE) sind nach GDP verpflichtet, ihre Logistikdienstleister zu qualifizieren (Supplier Qualification). MediVita hätte prüfen müssen, ob Schwarmstedt GDP-konform ist; Schwarmstedt wiederum hätte prüfen müssen, ob Petrescu Transport SRL GDP-konform ist.</w:t>
      </w:r>
    </w:p>
    <w:p>
      <w:pPr>
        <w:jc w:val="left"/>
      </w:pPr>
      <w:r>
        <w:rPr>
          <w:b/>
        </w:rPr>
        <w:t>Lieferantenqualifizierungsdokumentation (MediVita SE):</w:t>
      </w:r>
    </w:p>
    <w:p>
      <w:pPr>
        <w:jc w:val="left"/>
      </w:pPr>
      <w:r>
        <w:t>Schwarmstedt hat vorgelegt: GDP-Auditbericht 2024 (intern, Selbsteinschätzung) sowie ein Zertifikat der IHK Lüneburg über eine GDP-Schulung für Mitarbeiter im Februar 2024. MediVita hat nach Auskunft des Logistikverantwortlichen Quasdorf einen "Approved Carrier"-Status an Schwarmstedt vergeben (Schwarmstedt ist in der MediVita-Lieferantenliste für temperaturkontrollierte Transporte unter "GDP Qualified" eingetragen, Eintrag vom 15. März 2024).</w:t>
      </w:r>
    </w:p>
    <w:p>
      <w:pPr>
        <w:pStyle w:val="Heading3"/>
      </w:pPr>
      <w:r>
        <w:rPr>
          <w:rFonts w:ascii="Times New Roman" w:hAnsi="Times New Roman"/>
        </w:rPr>
        <w:t>1.3 GDP-Status von Petrescu Transport SRL</w:t>
      </w:r>
    </w:p>
    <w:p>
      <w:pPr>
        <w:jc w:val="left"/>
      </w:pPr>
      <w:r>
        <w:t>Petrescu Transport SRL ist in keiner öffentlichen europäischen GDP-Datenbank als GDP-zertifizierter Frachtführer eingetragen. Schwarmstedt hat nach eigener Auskunft bei der Beauftragung von Petrescu für Pharmatransporte eine "informelle Prüfung" des Kühlfahrzeugs durchgeführt (Fotos des Fahrzeugs, telefonische Bestätigung der Kühltechnik durch Bogdan Petrescu).</w:t>
      </w:r>
    </w:p>
    <w:p>
      <w:pPr>
        <w:jc w:val="left"/>
      </w:pPr>
      <w:r>
        <w:rPr>
          <w:b/>
        </w:rPr>
        <w:t>Bewertung:</w:t>
      </w:r>
      <w:r>
        <w:t xml:space="preserve"> Diese informelle Prüfung reicht nach GDP-Anforderungen nicht aus. GDP verlangt eine </w:t>
      </w:r>
      <w:r>
        <w:rPr>
          <w:b/>
        </w:rPr>
        <w:t>dokumentierte Qualifizierung</w:t>
      </w:r>
      <w:r>
        <w:t xml:space="preserve"> mit technischer Inspektion, Temperaturmapping und Schulungsnachweisen für den Fahrer. Das Fehlen einer ordnungsgemäßen Subunternehmer-Qualifizierung ist ein GDP-Verstoß von Schwarmstedt — und könnte als Indiz für mangelnde Sorgfalt im Sinne von Art. 29 CMR herangezogen werden.</w:t>
      </w:r>
    </w:p>
    <w:p>
      <w:pPr>
        <w:jc w:val="left"/>
      </w:pPr>
      <w:r>
        <w:rPr>
          <w:b/>
        </w:rPr>
        <w:t>Wichtig für die Verteidigung:</w:t>
      </w:r>
      <w:r>
        <w:t xml:space="preserve"> Dieser Aspekt ist sensitiv. MediVita SE könnte das Fehlen eines GDP-Qualifizierungsnachweises für Petrescu als Beweis für ein strukturelles Organisationsverschulden von Schwarmstedt einsetzen.</w:t>
      </w:r>
    </w:p>
    <w:p/>
    <w:p>
      <w:pPr>
        <w:pStyle w:val="Heading2"/>
      </w:pPr>
      <w:r>
        <w:rPr>
          <w:rFonts w:ascii="Times New Roman" w:hAnsi="Times New Roman"/>
        </w:rPr>
        <w:t>2. ADR — Gefahrgutbeförderung</w:t>
      </w:r>
    </w:p>
    <w:p>
      <w:pPr>
        <w:pStyle w:val="Heading3"/>
      </w:pPr>
      <w:r>
        <w:rPr>
          <w:rFonts w:ascii="Times New Roman" w:hAnsi="Times New Roman"/>
        </w:rPr>
        <w:t>2.1 Rechtsgrundlage</w:t>
      </w:r>
    </w:p>
    <w:p>
      <w:pPr>
        <w:jc w:val="left"/>
      </w:pPr>
      <w:r>
        <w:t>Das Europäische Übereinkommen über die internationale Beförderung gefährlicher Güter auf der Straße (ADR, Accord européen relatif au transport international des marchandises dangereuses par Route), in Deutschland umgesetzt durch das GGBefG und die GGVSEB (Gefahrgut-Verordnung Straße, Eisenbahn und Binnenschifffahrt), regelt den Transport gefährlicher Güter.</w:t>
      </w:r>
    </w:p>
    <w:p>
      <w:pPr>
        <w:pStyle w:val="Heading3"/>
      </w:pPr>
      <w:r>
        <w:rPr>
          <w:rFonts w:ascii="Times New Roman" w:hAnsi="Times New Roman"/>
        </w:rPr>
        <w:t>2.2 Klassifizierung der Pharmasendung</w:t>
      </w:r>
    </w:p>
    <w:p>
      <w:pPr>
        <w:jc w:val="left"/>
      </w:pPr>
      <w:r>
        <w:t>Der transportierte monoklonale Antikörper ist nach Kapitel 2.2 ADR wie folgt einzuordnen:</w:t>
      </w:r>
    </w:p>
    <w:p>
      <w:pPr>
        <w:pStyle w:val="ListBullet"/>
      </w:pPr>
      <w:r>
        <w:t>Klasse 9 (Verschiedenartige gefährliche Stoffe und Gegenstände)</w:t>
      </w:r>
    </w:p>
    <w:p>
      <w:pPr>
        <w:pStyle w:val="ListBullet"/>
      </w:pPr>
      <w:r>
        <w:t>UN-Nummer: 3245 (Gentechnisch veränderte Mikroorganismen oder Gentechnisch veränderte Organismen — je nach Herstellungsprozess; alternativ: UN 3373 biologische Stoffe, Kategorie B)</w:t>
      </w:r>
    </w:p>
    <w:p>
      <w:pPr>
        <w:pStyle w:val="ListBullet"/>
      </w:pPr>
      <w:r>
        <w:t>Verpackungsgruppe: III</w:t>
      </w:r>
    </w:p>
    <w:p>
      <w:pPr>
        <w:pStyle w:val="ListBullet"/>
      </w:pPr>
      <w:r>
        <w:t>Beförderungskategorie 3</w:t>
      </w:r>
    </w:p>
    <w:p>
      <w:pPr>
        <w:jc w:val="left"/>
      </w:pPr>
      <w:r>
        <w:rPr>
          <w:b/>
        </w:rPr>
        <w:t>Hinweis:</w:t>
      </w:r>
      <w:r>
        <w:t xml:space="preserve"> Im CMR-Frachtbrief ist "UN 3245" eingetragen; nach dem GDP-Qualitätsbericht von MediVita handelt es sich um ein gentechnisch hergestelltes Antikörperpräparat, was diese Klassifizierung plausibel erscheinen lässt.</w:t>
      </w:r>
    </w:p>
    <w:p>
      <w:pPr>
        <w:pStyle w:val="Heading3"/>
      </w:pPr>
      <w:r>
        <w:rPr>
          <w:rFonts w:ascii="Times New Roman" w:hAnsi="Times New Roman"/>
        </w:rPr>
        <w:t>2.3 ADR-Ausrüstungsanforderungen</w:t>
      </w:r>
    </w:p>
    <w:p>
      <w:pPr>
        <w:jc w:val="left"/>
      </w:pPr>
      <w:r>
        <w:t>Für UN 3245 (Klasse 9) gelten nach ADR Abs. 8.1.5:</w:t>
      </w:r>
    </w:p>
    <w:p>
      <w:pPr>
        <w:pStyle w:val="ListBullet"/>
      </w:pPr>
      <w:r>
        <w:t>Feuerlöscher vorhanden (1 kg Pulver mindestens)</w:t>
      </w:r>
    </w:p>
    <w:p>
      <w:pPr>
        <w:pStyle w:val="ListBullet"/>
      </w:pPr>
      <w:r>
        <w:t>Schriftliche Weisungen (§ 5.4.3 ADR)</w:t>
      </w:r>
    </w:p>
    <w:p>
      <w:pPr>
        <w:pStyle w:val="ListBullet"/>
      </w:pPr>
      <w:r>
        <w:t>Orangefarbige Tafeln mit UN-Nummer (§ 5.3 ADR)</w:t>
      </w:r>
    </w:p>
    <w:p>
      <w:pPr>
        <w:jc w:val="left"/>
      </w:pPr>
      <w:r>
        <w:t>Das Kühlfahrzeug der Petrescu Transport SRL war nach der ADR-Vorbeifahrtskontrolle (BALM-Protokoll vom 10. Januar 2026, Grenzkontrollstelle Aachen) mit den erforderlichen ADR-Kennzeichnungen und Ausrüstungen versehen. Dies spricht gegen grobe ADR-Verstöße.</w:t>
      </w:r>
    </w:p>
    <w:p>
      <w:pPr>
        <w:pStyle w:val="Heading3"/>
      </w:pPr>
      <w:r>
        <w:rPr>
          <w:rFonts w:ascii="Times New Roman" w:hAnsi="Times New Roman"/>
        </w:rPr>
        <w:t>2.4 ADR-Bescheinigung des Fahrers</w:t>
      </w:r>
    </w:p>
    <w:p>
      <w:pPr>
        <w:jc w:val="left"/>
      </w:pPr>
      <w:r>
        <w:t>Catalin Petrescu verfügt über eine ADR-Bescheinigung für Klasse 9, ausgestellt am 18. März 2023 (Ausbildungsstätte: Centrul de Formare Profesionala CFP Bukarest). Gültigkeitsdauer: 5 Jahre bis 18. März 2028. Die Bescheinigung war zum Zeitpunkt des Transports gültig.</w:t>
      </w:r>
    </w:p>
    <w:p>
      <w:pPr>
        <w:jc w:val="left"/>
      </w:pPr>
      <w:r>
        <w:rPr>
          <w:b/>
        </w:rPr>
        <w:t>Kein ADR-Verstoß</w:t>
      </w:r>
      <w:r>
        <w:t xml:space="preserve"> des Fahrers in Bezug auf die Bescheinigung festgestellt.</w:t>
      </w:r>
    </w:p>
    <w:p/>
    <w:p>
      <w:pPr>
        <w:pStyle w:val="Heading2"/>
      </w:pPr>
      <w:r>
        <w:rPr>
          <w:rFonts w:ascii="Times New Roman" w:hAnsi="Times New Roman"/>
        </w:rPr>
        <w:t>3. Schnittstellenproblem: GDP vs. ADR vs. CMR</w:t>
      </w:r>
    </w:p>
    <w:p>
      <w:pPr>
        <w:jc w:val="left"/>
      </w:pPr>
      <w:r>
        <w:t>Der vorliegende Transport tangiert drei Regelwerke gleichzeitig: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Regelwerk</w:t>
            </w:r>
          </w:p>
        </w:tc>
        <w:tc>
          <w:tcPr>
            <w:tcW w:type="dxa" w:w="3024"/>
          </w:tcPr>
          <w:p>
            <w:r>
              <w:rPr>
                <w:rFonts w:ascii="Times New Roman" w:hAnsi="Times New Roman"/>
                <w:b/>
                <w:sz w:val="20"/>
              </w:rPr>
              <w:t>Anwendungsbereich</w:t>
            </w:r>
          </w:p>
        </w:tc>
        <w:tc>
          <w:tcPr>
            <w:tcW w:type="dxa" w:w="3024"/>
          </w:tcPr>
          <w:p>
            <w:r>
              <w:rPr>
                <w:rFonts w:ascii="Times New Roman" w:hAnsi="Times New Roman"/>
                <w:b/>
                <w:sz w:val="20"/>
              </w:rPr>
              <w:t>Zuständige Behörde</w:t>
            </w:r>
          </w:p>
        </w:tc>
      </w:tr>
      <w:tr>
        <w:tc>
          <w:tcPr>
            <w:tcW w:type="dxa" w:w="3024"/>
          </w:tcPr>
          <w:p>
            <w:r>
              <w:rPr>
                <w:rFonts w:ascii="Times New Roman" w:hAnsi="Times New Roman"/>
                <w:sz w:val="20"/>
              </w:rPr>
              <w:t>CMR</w:t>
            </w:r>
          </w:p>
        </w:tc>
        <w:tc>
          <w:tcPr>
            <w:tcW w:type="dxa" w:w="3024"/>
          </w:tcPr>
          <w:p>
            <w:r>
              <w:rPr>
                <w:rFonts w:ascii="Times New Roman" w:hAnsi="Times New Roman"/>
                <w:sz w:val="20"/>
              </w:rPr>
              <w:t>Frachtvertrag, Haftung</w:t>
            </w:r>
          </w:p>
        </w:tc>
        <w:tc>
          <w:tcPr>
            <w:tcW w:type="dxa" w:w="3024"/>
          </w:tcPr>
          <w:p>
            <w:r>
              <w:rPr>
                <w:rFonts w:ascii="Times New Roman" w:hAnsi="Times New Roman"/>
                <w:sz w:val="20"/>
              </w:rPr>
              <w:t>Zivilgerichte</w:t>
            </w:r>
          </w:p>
        </w:tc>
      </w:tr>
      <w:tr>
        <w:tc>
          <w:tcPr>
            <w:tcW w:type="dxa" w:w="3024"/>
          </w:tcPr>
          <w:p>
            <w:r>
              <w:rPr>
                <w:rFonts w:ascii="Times New Roman" w:hAnsi="Times New Roman"/>
                <w:sz w:val="20"/>
              </w:rPr>
              <w:t>ADR</w:t>
            </w:r>
          </w:p>
        </w:tc>
        <w:tc>
          <w:tcPr>
            <w:tcW w:type="dxa" w:w="3024"/>
          </w:tcPr>
          <w:p>
            <w:r>
              <w:rPr>
                <w:rFonts w:ascii="Times New Roman" w:hAnsi="Times New Roman"/>
                <w:sz w:val="20"/>
              </w:rPr>
              <w:t>Gefahrgutvorschriften</w:t>
            </w:r>
          </w:p>
        </w:tc>
        <w:tc>
          <w:tcPr>
            <w:tcW w:type="dxa" w:w="3024"/>
          </w:tcPr>
          <w:p>
            <w:r>
              <w:rPr>
                <w:rFonts w:ascii="Times New Roman" w:hAnsi="Times New Roman"/>
                <w:sz w:val="20"/>
              </w:rPr>
              <w:t>BALM, Polizei</w:t>
            </w:r>
          </w:p>
        </w:tc>
      </w:tr>
      <w:tr>
        <w:tc>
          <w:tcPr>
            <w:tcW w:type="dxa" w:w="3024"/>
          </w:tcPr>
          <w:p>
            <w:r>
              <w:rPr>
                <w:rFonts w:ascii="Times New Roman" w:hAnsi="Times New Roman"/>
                <w:sz w:val="20"/>
              </w:rPr>
              <w:t>GDP</w:t>
            </w:r>
          </w:p>
        </w:tc>
        <w:tc>
          <w:tcPr>
            <w:tcW w:type="dxa" w:w="3024"/>
          </w:tcPr>
          <w:p>
            <w:r>
              <w:rPr>
                <w:rFonts w:ascii="Times New Roman" w:hAnsi="Times New Roman"/>
                <w:sz w:val="20"/>
              </w:rPr>
              <w:t>Qualitätssicherung Pharma</w:t>
            </w:r>
          </w:p>
        </w:tc>
        <w:tc>
          <w:tcPr>
            <w:tcW w:type="dxa" w:w="3024"/>
          </w:tcPr>
          <w:p>
            <w:r>
              <w:rPr>
                <w:rFonts w:ascii="Times New Roman" w:hAnsi="Times New Roman"/>
                <w:sz w:val="20"/>
              </w:rPr>
              <w:t>AMB, BfArM</w:t>
            </w:r>
          </w:p>
        </w:tc>
      </w:tr>
    </w:tbl>
    <w:p>
      <w:pPr>
        <w:jc w:val="left"/>
      </w:pPr>
      <w:r>
        <w:t>Diese Überschneidung schafft komplexe Haftungsfragen: Ein ADR-konformer Transport kann GDP-non-konform sein; ein GDP-konformer Transport kann Art. 23/29 CMR-Fragen aufwerfen.</w:t>
      </w:r>
    </w:p>
    <w:p>
      <w:pPr>
        <w:jc w:val="left"/>
      </w:pPr>
      <w:r>
        <w:rPr>
          <w:b/>
        </w:rPr>
        <w:t>Beispiel für die vorliegende Akte:</w:t>
      </w:r>
    </w:p>
    <w:p>
      <w:pPr>
        <w:jc w:val="left"/>
      </w:pPr>
      <w:r>
        <w:t>Das Kühlfahrzeug war ADR-konform zertifiziert (Klasse 9, Ausrüstung in Ordnung). Es war jedoch möglicherweise nicht GDP-qualifiziert (fehlende Dokumentation, fehlende Temperaturmapping-Validierung). Der Kühlkettenbruch ist ein GDP-Verstoß — und gleichzeitig die Grundlage des CMR-Schadensersatzanspruchs. Der ADR-Verstoß fehlt.</w:t>
      </w:r>
    </w:p>
    <w:p/>
    <w:p>
      <w:pPr>
        <w:pStyle w:val="Heading2"/>
      </w:pPr>
      <w:r>
        <w:rPr>
          <w:rFonts w:ascii="Times New Roman" w:hAnsi="Times New Roman"/>
        </w:rPr>
        <w:t>4. Qualifizierungsdokumentation — Sofortmaßnahme</w:t>
      </w:r>
    </w:p>
    <w:p>
      <w:pPr>
        <w:jc w:val="left"/>
      </w:pPr>
      <w:r>
        <w:t>Schwarmstedt wird aufgefordert, folgende Dokumente bis zum 30. April 2026 zusammenzustellen: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Dokument</w:t>
            </w:r>
          </w:p>
        </w:tc>
        <w:tc>
          <w:tcPr>
            <w:tcW w:type="dxa" w:w="3024"/>
          </w:tcPr>
          <w:p>
            <w:r>
              <w:rPr>
                <w:rFonts w:ascii="Times New Roman" w:hAnsi="Times New Roman"/>
                <w:b/>
                <w:sz w:val="20"/>
              </w:rPr>
              <w:t>Zweck</w:t>
            </w:r>
          </w:p>
        </w:tc>
        <w:tc>
          <w:tcPr>
            <w:tcW w:type="dxa" w:w="3024"/>
          </w:tcPr>
          <w:p>
            <w:r>
              <w:rPr>
                <w:rFonts w:ascii="Times New Roman" w:hAnsi="Times New Roman"/>
                <w:b/>
                <w:sz w:val="20"/>
              </w:rPr>
              <w:t>Status</w:t>
            </w:r>
          </w:p>
        </w:tc>
      </w:tr>
      <w:tr>
        <w:tc>
          <w:tcPr>
            <w:tcW w:type="dxa" w:w="3024"/>
          </w:tcPr>
          <w:p>
            <w:r>
              <w:rPr>
                <w:rFonts w:ascii="Times New Roman" w:hAnsi="Times New Roman"/>
                <w:sz w:val="20"/>
              </w:rPr>
              <w:t>GDP-Auditbericht 2024 (Schwarmstedt)</w:t>
            </w:r>
          </w:p>
        </w:tc>
        <w:tc>
          <w:tcPr>
            <w:tcW w:type="dxa" w:w="3024"/>
          </w:tcPr>
          <w:p>
            <w:r>
              <w:rPr>
                <w:rFonts w:ascii="Times New Roman" w:hAnsi="Times New Roman"/>
                <w:sz w:val="20"/>
              </w:rPr>
              <w:t>Nachweis eigener GDP-Konformität</w:t>
            </w:r>
          </w:p>
        </w:tc>
        <w:tc>
          <w:tcPr>
            <w:tcW w:type="dxa" w:w="3024"/>
          </w:tcPr>
          <w:p>
            <w:r>
              <w:rPr>
                <w:rFonts w:ascii="Times New Roman" w:hAnsi="Times New Roman"/>
                <w:sz w:val="20"/>
              </w:rPr>
              <w:t>Liegt vor</w:t>
            </w:r>
          </w:p>
        </w:tc>
      </w:tr>
      <w:tr>
        <w:tc>
          <w:tcPr>
            <w:tcW w:type="dxa" w:w="3024"/>
          </w:tcPr>
          <w:p>
            <w:r>
              <w:rPr>
                <w:rFonts w:ascii="Times New Roman" w:hAnsi="Times New Roman"/>
                <w:sz w:val="20"/>
              </w:rPr>
              <w:t>MediVita Approved Carrier Zertifikat (März 2024)</w:t>
            </w:r>
          </w:p>
        </w:tc>
        <w:tc>
          <w:tcPr>
            <w:tcW w:type="dxa" w:w="3024"/>
          </w:tcPr>
          <w:p>
            <w:r>
              <w:rPr>
                <w:rFonts w:ascii="Times New Roman" w:hAnsi="Times New Roman"/>
                <w:sz w:val="20"/>
              </w:rPr>
              <w:t>Nachweis Freigabe durch Auftraggeber</w:t>
            </w:r>
          </w:p>
        </w:tc>
        <w:tc>
          <w:tcPr>
            <w:tcW w:type="dxa" w:w="3024"/>
          </w:tcPr>
          <w:p>
            <w:r>
              <w:rPr>
                <w:rFonts w:ascii="Times New Roman" w:hAnsi="Times New Roman"/>
                <w:sz w:val="20"/>
              </w:rPr>
              <w:t>Liegt vor</w:t>
            </w:r>
          </w:p>
        </w:tc>
      </w:tr>
      <w:tr>
        <w:tc>
          <w:tcPr>
            <w:tcW w:type="dxa" w:w="3024"/>
          </w:tcPr>
          <w:p>
            <w:r>
              <w:rPr>
                <w:rFonts w:ascii="Times New Roman" w:hAnsi="Times New Roman"/>
                <w:sz w:val="20"/>
              </w:rPr>
              <w:t>Subunternehmer-Qualifizierungsprotokoll Petrescu</w:t>
            </w:r>
          </w:p>
        </w:tc>
        <w:tc>
          <w:tcPr>
            <w:tcW w:type="dxa" w:w="3024"/>
          </w:tcPr>
          <w:p>
            <w:r>
              <w:rPr>
                <w:rFonts w:ascii="Times New Roman" w:hAnsi="Times New Roman"/>
                <w:sz w:val="20"/>
              </w:rPr>
              <w:t>Nachweis Subunternehmerprüfung</w:t>
            </w:r>
          </w:p>
        </w:tc>
        <w:tc>
          <w:tcPr>
            <w:tcW w:type="dxa" w:w="3024"/>
          </w:tcPr>
          <w:p>
            <w:r>
              <w:rPr>
                <w:rFonts w:ascii="Times New Roman" w:hAnsi="Times New Roman"/>
                <w:sz w:val="20"/>
              </w:rPr>
              <w:t>Nicht vorhanden</w:t>
            </w:r>
          </w:p>
        </w:tc>
      </w:tr>
      <w:tr>
        <w:tc>
          <w:tcPr>
            <w:tcW w:type="dxa" w:w="3024"/>
          </w:tcPr>
          <w:p>
            <w:r>
              <w:rPr>
                <w:rFonts w:ascii="Times New Roman" w:hAnsi="Times New Roman"/>
                <w:sz w:val="20"/>
              </w:rPr>
              <w:t>Temperaturmapping Kühlauflieger B-88-RKL</w:t>
            </w:r>
          </w:p>
        </w:tc>
        <w:tc>
          <w:tcPr>
            <w:tcW w:type="dxa" w:w="3024"/>
          </w:tcPr>
          <w:p>
            <w:r>
              <w:rPr>
                <w:rFonts w:ascii="Times New Roman" w:hAnsi="Times New Roman"/>
                <w:sz w:val="20"/>
              </w:rPr>
              <w:t>Technische Validierung des Fahrzeugs</w:t>
            </w:r>
          </w:p>
        </w:tc>
        <w:tc>
          <w:tcPr>
            <w:tcW w:type="dxa" w:w="3024"/>
          </w:tcPr>
          <w:p>
            <w:r>
              <w:rPr>
                <w:rFonts w:ascii="Times New Roman" w:hAnsi="Times New Roman"/>
                <w:sz w:val="20"/>
              </w:rPr>
              <w:t>Nicht vorhanden</w:t>
            </w:r>
          </w:p>
        </w:tc>
      </w:tr>
      <w:tr>
        <w:tc>
          <w:tcPr>
            <w:tcW w:type="dxa" w:w="3024"/>
          </w:tcPr>
          <w:p>
            <w:r>
              <w:rPr>
                <w:rFonts w:ascii="Times New Roman" w:hAnsi="Times New Roman"/>
                <w:sz w:val="20"/>
              </w:rPr>
              <w:t>Fahrer-GDP-Schulungsnachweis C. Petrescu</w:t>
            </w:r>
          </w:p>
        </w:tc>
        <w:tc>
          <w:tcPr>
            <w:tcW w:type="dxa" w:w="3024"/>
          </w:tcPr>
          <w:p>
            <w:r>
              <w:rPr>
                <w:rFonts w:ascii="Times New Roman" w:hAnsi="Times New Roman"/>
                <w:sz w:val="20"/>
              </w:rPr>
              <w:t>Qualifizierungsnachweis Fahrer</w:t>
            </w:r>
          </w:p>
        </w:tc>
        <w:tc>
          <w:tcPr>
            <w:tcW w:type="dxa" w:w="3024"/>
          </w:tcPr>
          <w:p>
            <w:r>
              <w:rPr>
                <w:rFonts w:ascii="Times New Roman" w:hAnsi="Times New Roman"/>
                <w:sz w:val="20"/>
              </w:rPr>
              <w:t>Zu beschaffen</w:t>
            </w:r>
          </w:p>
        </w:tc>
      </w:tr>
      <w:tr>
        <w:tc>
          <w:tcPr>
            <w:tcW w:type="dxa" w:w="3024"/>
          </w:tcPr>
          <w:p>
            <w:r>
              <w:rPr>
                <w:rFonts w:ascii="Times New Roman" w:hAnsi="Times New Roman"/>
                <w:sz w:val="20"/>
              </w:rPr>
              <w:t>ADR-Bescheinigung C. Petrescu (Kopie)</w:t>
            </w:r>
          </w:p>
        </w:tc>
        <w:tc>
          <w:tcPr>
            <w:tcW w:type="dxa" w:w="3024"/>
          </w:tcPr>
          <w:p>
            <w:r>
              <w:rPr>
                <w:rFonts w:ascii="Times New Roman" w:hAnsi="Times New Roman"/>
                <w:sz w:val="20"/>
              </w:rPr>
              <w:t>Liegt vor</w:t>
            </w:r>
          </w:p>
        </w:tc>
        <w:tc>
          <w:tcPr>
            <w:tcW w:type="dxa" w:w="3024"/>
          </w:tcPr>
          <w:p>
            <w:r>
              <w:rPr>
                <w:rFonts w:ascii="Times New Roman" w:hAnsi="Times New Roman"/>
                <w:sz w:val="20"/>
              </w:rPr>
              <w:t>Liegt vor</w:t>
            </w:r>
          </w:p>
        </w:tc>
      </w:tr>
    </w:tbl>
    <w:p>
      <w:pPr>
        <w:jc w:val="left"/>
      </w:pPr>
      <w:r>
        <w:rPr>
          <w:b/>
        </w:rPr>
        <w:t>Risiko für das Verfahren:</w:t>
      </w:r>
      <w:r>
        <w:t xml:space="preserve"> Das Fehlen des Subunternehmer-Qualifizierungsprotokolls und des Temperaturmappings ist das stärkste Indiz zugunsten von MediVita SE. Schwarmstedt muss hier eine glaubhafte Erklärung liefern, warum die Dokumentation fehlt (z.B. interne Schulung statt Fremddokumentation) und nachweisen, dass die Qualifizierung de facto stattgefunden hat.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Schwarmstedt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Schwarmstedt Logistik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