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MediVita SE — Pharmasendung, Warenwert und Schadensermittlung</w:t>
      </w:r>
    </w:p>
    <w:p>
      <w:pPr>
        <w:jc w:val="left"/>
      </w:pPr>
      <w:r>
        <w:t>Akte: LG Hannover 9 O 244/26 / Sachverhaltsermittlung</w:t>
      </w:r>
    </w:p>
    <w:p>
      <w:pPr>
        <w:jc w:val="left"/>
      </w:pPr>
      <w:r>
        <w:t>Verfasserin: RAin Dr. Antonia Hammerschmidt</w:t>
      </w:r>
    </w:p>
    <w:p>
      <w:pPr>
        <w:jc w:val="left"/>
      </w:pPr>
      <w:r>
        <w:t>Stand: 18. April 2026</w:t>
      </w:r>
    </w:p>
    <w:p/>
    <w:p>
      <w:pPr>
        <w:pStyle w:val="Heading2"/>
      </w:pPr>
      <w:r>
        <w:rPr>
          <w:rFonts w:ascii="Times New Roman" w:hAnsi="Times New Roman"/>
        </w:rPr>
        <w:t>1. Beschreibung der Pharmasendung</w:t>
      </w:r>
    </w:p>
    <w:p>
      <w:pPr>
        <w:pStyle w:val="Heading3"/>
      </w:pPr>
      <w:r>
        <w:rPr>
          <w:rFonts w:ascii="Times New Roman" w:hAnsi="Times New Roman"/>
        </w:rPr>
        <w:t>1.1 Wirkstoff und Arzneimittel</w:t>
      </w:r>
    </w:p>
    <w:p>
      <w:pPr>
        <w:jc w:val="left"/>
      </w:pPr>
      <w:r>
        <w:t>Bei der transportierten Ware handelt es sich um ein monoklonales Antikörperpräparat (mAb) zur Behandlung von nicht-kleinzelligem Lungenkarzinom (NSCLC) im Stadium III/IV. Der Handelsname ist aus Datenschutzgründen in den Akten anonymisiert ([REDACTED]); das Arzneimittel befindet sich im erweiterten Zulassungsverfahren bei der EMA (Referenz EMA/EPAR/xxxxx). MediVita SE vertreibt das Mittel auf Grundlage einer länderspezifischen Sonderzulassung für Kliniken in Frankreich (Autorisation Temporaire d'Utilisation, ATU).</w:t>
      </w:r>
    </w:p>
    <w:p>
      <w:pPr>
        <w:pStyle w:val="Heading3"/>
      </w:pPr>
      <w:r>
        <w:rPr>
          <w:rFonts w:ascii="Times New Roman" w:hAnsi="Times New Roman"/>
        </w:rPr>
        <w:t>1.2 Vial-Spezifikation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Wert</w:t>
            </w:r>
          </w:p>
        </w:tc>
      </w:tr>
      <w:tr>
        <w:tc>
          <w:tcPr>
            <w:tcW w:type="dxa" w:w="4536"/>
          </w:tcPr>
          <w:p>
            <w:r>
              <w:rPr>
                <w:rFonts w:ascii="Times New Roman" w:hAnsi="Times New Roman"/>
                <w:sz w:val="20"/>
              </w:rPr>
              <w:t>Arzneiform</w:t>
            </w:r>
          </w:p>
        </w:tc>
        <w:tc>
          <w:tcPr>
            <w:tcW w:type="dxa" w:w="4536"/>
          </w:tcPr>
          <w:p>
            <w:r>
              <w:rPr>
                <w:rFonts w:ascii="Times New Roman" w:hAnsi="Times New Roman"/>
                <w:sz w:val="20"/>
              </w:rPr>
              <w:t>Konzentrat zur Herstellung einer Infusionslösung</w:t>
            </w:r>
          </w:p>
        </w:tc>
      </w:tr>
      <w:tr>
        <w:tc>
          <w:tcPr>
            <w:tcW w:type="dxa" w:w="4536"/>
          </w:tcPr>
          <w:p>
            <w:r>
              <w:rPr>
                <w:rFonts w:ascii="Times New Roman" w:hAnsi="Times New Roman"/>
                <w:sz w:val="20"/>
              </w:rPr>
              <w:t>Wirkstoff-Konzentration</w:t>
            </w:r>
          </w:p>
        </w:tc>
        <w:tc>
          <w:tcPr>
            <w:tcW w:type="dxa" w:w="4536"/>
          </w:tcPr>
          <w:p>
            <w:r>
              <w:rPr>
                <w:rFonts w:ascii="Times New Roman" w:hAnsi="Times New Roman"/>
                <w:sz w:val="20"/>
              </w:rPr>
              <w:t>[REDACTED] mg/ml</w:t>
            </w:r>
          </w:p>
        </w:tc>
      </w:tr>
      <w:tr>
        <w:tc>
          <w:tcPr>
            <w:tcW w:type="dxa" w:w="4536"/>
          </w:tcPr>
          <w:p>
            <w:r>
              <w:rPr>
                <w:rFonts w:ascii="Times New Roman" w:hAnsi="Times New Roman"/>
                <w:sz w:val="20"/>
              </w:rPr>
              <w:t>Füllmenge je Vial</w:t>
            </w:r>
          </w:p>
        </w:tc>
        <w:tc>
          <w:tcPr>
            <w:tcW w:type="dxa" w:w="4536"/>
          </w:tcPr>
          <w:p>
            <w:r>
              <w:rPr>
                <w:rFonts w:ascii="Times New Roman" w:hAnsi="Times New Roman"/>
                <w:sz w:val="20"/>
              </w:rPr>
              <w:t>20 ml (= [REDACTED] mg je Vial)</w:t>
            </w:r>
          </w:p>
        </w:tc>
      </w:tr>
      <w:tr>
        <w:tc>
          <w:tcPr>
            <w:tcW w:type="dxa" w:w="4536"/>
          </w:tcPr>
          <w:p>
            <w:r>
              <w:rPr>
                <w:rFonts w:ascii="Times New Roman" w:hAnsi="Times New Roman"/>
                <w:sz w:val="20"/>
              </w:rPr>
              <w:t>Behältnis</w:t>
            </w:r>
          </w:p>
        </w:tc>
        <w:tc>
          <w:tcPr>
            <w:tcW w:type="dxa" w:w="4536"/>
          </w:tcPr>
          <w:p>
            <w:r>
              <w:rPr>
                <w:rFonts w:ascii="Times New Roman" w:hAnsi="Times New Roman"/>
                <w:sz w:val="20"/>
              </w:rPr>
              <w:t>Typ-I-Borosilikatglas-Durchstechflasche</w:t>
            </w:r>
          </w:p>
        </w:tc>
      </w:tr>
      <w:tr>
        <w:tc>
          <w:tcPr>
            <w:tcW w:type="dxa" w:w="4536"/>
          </w:tcPr>
          <w:p>
            <w:r>
              <w:rPr>
                <w:rFonts w:ascii="Times New Roman" w:hAnsi="Times New Roman"/>
                <w:sz w:val="20"/>
              </w:rPr>
              <w:t>Verpackung</w:t>
            </w:r>
          </w:p>
        </w:tc>
        <w:tc>
          <w:tcPr>
            <w:tcW w:type="dxa" w:w="4536"/>
          </w:tcPr>
          <w:p>
            <w:r>
              <w:rPr>
                <w:rFonts w:ascii="Times New Roman" w:hAnsi="Times New Roman"/>
                <w:sz w:val="20"/>
              </w:rPr>
              <w:t>1 Vial pro Sekundärverpackung; je 12 Sekundärpackungen in einer isothermen GDP-Versandbox</w:t>
            </w:r>
          </w:p>
        </w:tc>
      </w:tr>
      <w:tr>
        <w:tc>
          <w:tcPr>
            <w:tcW w:type="dxa" w:w="4536"/>
          </w:tcPr>
          <w:p>
            <w:r>
              <w:rPr>
                <w:rFonts w:ascii="Times New Roman" w:hAnsi="Times New Roman"/>
                <w:sz w:val="20"/>
              </w:rPr>
              <w:t>Gesamtanzahl Vials</w:t>
            </w:r>
          </w:p>
        </w:tc>
        <w:tc>
          <w:tcPr>
            <w:tcW w:type="dxa" w:w="4536"/>
          </w:tcPr>
          <w:p>
            <w:r>
              <w:rPr>
                <w:rFonts w:ascii="Times New Roman" w:hAnsi="Times New Roman"/>
                <w:sz w:val="20"/>
              </w:rPr>
              <w:t>144 (= 12 Versandboxen à 12 Vials)</w:t>
            </w:r>
          </w:p>
        </w:tc>
      </w:tr>
      <w:tr>
        <w:tc>
          <w:tcPr>
            <w:tcW w:type="dxa" w:w="4536"/>
          </w:tcPr>
          <w:p>
            <w:r>
              <w:rPr>
                <w:rFonts w:ascii="Times New Roman" w:hAnsi="Times New Roman"/>
                <w:sz w:val="20"/>
              </w:rPr>
              <w:t>Einzelpreis je Vial</w:t>
            </w:r>
          </w:p>
        </w:tc>
        <w:tc>
          <w:tcPr>
            <w:tcW w:type="dxa" w:w="4536"/>
          </w:tcPr>
          <w:p>
            <w:r>
              <w:rPr>
                <w:rFonts w:ascii="Times New Roman" w:hAnsi="Times New Roman"/>
                <w:sz w:val="20"/>
              </w:rPr>
              <w:t>86.400 EUR (Klinikabgabepreis inkl. 7% USt.)</w:t>
            </w:r>
          </w:p>
        </w:tc>
      </w:tr>
      <w:tr>
        <w:tc>
          <w:tcPr>
            <w:tcW w:type="dxa" w:w="4536"/>
          </w:tcPr>
          <w:p>
            <w:r>
              <w:rPr>
                <w:rFonts w:ascii="Times New Roman" w:hAnsi="Times New Roman"/>
                <w:sz w:val="20"/>
              </w:rPr>
              <w:t>Gesamtwarenwert</w:t>
            </w:r>
          </w:p>
        </w:tc>
        <w:tc>
          <w:tcPr>
            <w:tcW w:type="dxa" w:w="4536"/>
          </w:tcPr>
          <w:p>
            <w:r>
              <w:rPr>
                <w:rFonts w:ascii="Times New Roman" w:hAnsi="Times New Roman"/>
                <w:sz w:val="20"/>
              </w:rPr>
              <w:t>12.441.600 EUR</w:t>
            </w:r>
          </w:p>
        </w:tc>
      </w:tr>
    </w:tbl>
    <w:p>
      <w:pPr>
        <w:pStyle w:val="Heading3"/>
      </w:pPr>
      <w:r>
        <w:rPr>
          <w:rFonts w:ascii="Times New Roman" w:hAnsi="Times New Roman"/>
        </w:rPr>
        <w:t>1.3 Therapie-Kontext</w:t>
      </w:r>
    </w:p>
    <w:p>
      <w:pPr>
        <w:jc w:val="left"/>
      </w:pPr>
      <w:r>
        <w:t>Ein therapeutischer Zyklus mit diesem Antikörper erfordert nach dem Behandlungsprotokoll der Universitätsklinik Lyon (Protokoll HCL-ONC-2025-4) für 12 Patienten je 1 Vial alle 3 Wochen über 6 Zyklen (Gesamtbehandlung 18 Monate). Die Sendung war demnach für die Behandlung von 12 Krebspatienten über bis zu 6 Zyklen bestimmt. Bei Vernichtung der Vials können diese Patienten nicht wie geplant behandelt werden.</w:t>
      </w:r>
    </w:p>
    <w:p/>
    <w:p>
      <w:pPr>
        <w:pStyle w:val="Heading2"/>
      </w:pPr>
      <w:r>
        <w:rPr>
          <w:rFonts w:ascii="Times New Roman" w:hAnsi="Times New Roman"/>
        </w:rPr>
        <w:t>2. Qualitätssicherungsgutachten — QS-Report MV-2026-001</w:t>
      </w:r>
    </w:p>
    <w:p>
      <w:pPr>
        <w:pStyle w:val="Heading3"/>
      </w:pPr>
      <w:r>
        <w:rPr>
          <w:rFonts w:ascii="Times New Roman" w:hAnsi="Times New Roman"/>
        </w:rPr>
        <w:t>2.1 Gutachter und Methodik</w:t>
      </w:r>
    </w:p>
    <w:p>
      <w:pPr>
        <w:jc w:val="left"/>
      </w:pPr>
      <w:r>
        <w:t>QS-Report Nr. MV-2026-001, erstellt von: MediVita SE, Qualitätssicherungslabor Wuppertal-Barmen (Leiterin: Dr. Sabrina Hohenfeldt, QP/Qualified Person nach § 19 AMG). Datum: 20. Januar 2026. Untersuchungsmethoden:</w:t>
      </w:r>
    </w:p>
    <w:p>
      <w:pPr>
        <w:pStyle w:val="ListBullet"/>
      </w:pPr>
      <w:r>
        <w:t>Visuelle Inspektion (Partikelfrei, Verfärbung)</w:t>
      </w:r>
    </w:p>
    <w:p>
      <w:pPr>
        <w:pStyle w:val="ListBullet"/>
      </w:pPr>
      <w:r>
        <w:t>Temperatur-Expositionsberechnung (aus Logger-Daten)</w:t>
      </w:r>
    </w:p>
    <w:p>
      <w:pPr>
        <w:pStyle w:val="ListBullet"/>
      </w:pPr>
      <w:r>
        <w:t>Stabilitätsdaten-Abgleich (Produktspezifikation MV-SPEC-0047-Rev3)</w:t>
      </w:r>
    </w:p>
    <w:p>
      <w:pPr>
        <w:pStyle w:val="ListBullet"/>
      </w:pPr>
      <w:r>
        <w:t>Proteinstrukturanalyse (Size Exclusion Chromatography, SEC-HPLC) — stichprobenartig</w:t>
      </w:r>
    </w:p>
    <w:p>
      <w:pPr>
        <w:pStyle w:val="Heading3"/>
      </w:pPr>
      <w:r>
        <w:rPr>
          <w:rFonts w:ascii="Times New Roman" w:hAnsi="Times New Roman"/>
        </w:rPr>
        <w:t>2.2 Ergebnisse</w:t>
      </w:r>
    </w:p>
    <w:p>
      <w:pPr>
        <w:jc w:val="left"/>
      </w:pPr>
      <w:r>
        <w:t>Nach der Temperaturexpositionsberechnung (36 Minuten bei &gt;+8°C, Peak +14,3°C):</w:t>
      </w:r>
    </w:p>
    <w:p>
      <w:pPr>
        <w:pStyle w:val="ListBullet"/>
      </w:pPr>
      <w:r>
        <w:t>5 Versandboxen (Ladepositionen 1, 2, 3, 8, 9) am wenigsten betroffen: 49 Vials als "bedingt verwendbar" eingestuft — Freigabe nur mit weiterer Stabilitätsprüfung möglich</w:t>
      </w:r>
    </w:p>
    <w:p>
      <w:pPr>
        <w:pStyle w:val="ListBullet"/>
      </w:pPr>
      <w:r>
        <w:t>7 Versandboxen (Ladepositionen 4, 5, 6, 7, 10, 11, 12): 95 Vials als "nicht freigabefähig" eingestuft — Vernichtung angeordnet</w:t>
      </w:r>
    </w:p>
    <w:p>
      <w:pPr>
        <w:jc w:val="left"/>
      </w:pPr>
      <w:r>
        <w:t>Laut QS-Report: "Die Temperaturüberschreitung auf +14,3°C für 36 Minuten übersteigt die in der Produktspezifikation (MV-SPEC-0047-Rev3) definierten Stabilitätsgrenzen. Nach den Stabilitätsdaten ist eine Degradation des Antikörpers bei &gt;12°C bereits nach 20 Minuten zu erwarten. Eine Charge-Release nach GDP-Maßgaben ist nicht möglich."</w:t>
      </w:r>
    </w:p>
    <w:p>
      <w:pPr>
        <w:pStyle w:val="Heading3"/>
      </w:pPr>
      <w:r>
        <w:rPr>
          <w:rFonts w:ascii="Times New Roman" w:hAnsi="Times New Roman"/>
        </w:rPr>
        <w:t>2.3 Bewertung durch Sachverständigen Kretschmann</w:t>
      </w:r>
    </w:p>
    <w:p>
      <w:pPr>
        <w:jc w:val="left"/>
      </w:pPr>
      <w:r>
        <w:t>Prof. Dr. Kretschmann hat den QS-Report geprüft (Vorläufiges Gutachten TUH-KT-2026-0088) und folgende Einwände erhoben:</w:t>
      </w:r>
    </w:p>
    <w:p>
      <w:pPr>
        <w:jc w:val="left"/>
      </w:pPr>
      <w:r>
        <w:rPr>
          <w:b/>
        </w:rPr>
        <w:t>(a) Ladeposition:</w:t>
      </w:r>
      <w:r>
        <w:t xml:space="preserve"> Der QS-Report geht von einer gleichmäßigen Temperaturverteilung im Laderaum aus. Isotherm-Boxen sind jedoch dafür konzipiert, die Innentemperatur auch bei kurzzeitiger Außenwärme zu halten. Die tatsächliche Innentemperatur in den Boxen dürfte deutlich langsamer gestiegen sein als die Laderaumtemperatur. Bei 36 Minuten Laderaumtemperatur &gt;+8°C ist die Innentemperatur der Boxen möglicherweise deutlich geringer gestiegen.</w:t>
      </w:r>
    </w:p>
    <w:p>
      <w:pPr>
        <w:jc w:val="left"/>
      </w:pPr>
      <w:r>
        <w:rPr>
          <w:b/>
        </w:rPr>
        <w:t>(b) Fehlende Boxen-Innentemperaturmessung:</w:t>
      </w:r>
      <w:r>
        <w:t xml:space="preserve"> Der DataTrack 4000 misst die Laderaumtemperatur, nicht die Innentemperatur der Versandboxen. Es ist ungeklärt, ob die Boxen (Typenbezeichnung: SarBox Kryogen Compact 2.5, Hersteller: Sartorius AG) die Innenwärme über 36 Minuten hinreichend gepuffert haben.</w:t>
      </w:r>
    </w:p>
    <w:p>
      <w:pPr>
        <w:jc w:val="left"/>
      </w:pPr>
      <w:r>
        <w:rPr>
          <w:b/>
        </w:rPr>
        <w:t>(c) Empfehlung:</w:t>
      </w:r>
      <w:r>
        <w:t xml:space="preserve"> Kretschmann empfiehlt, mindestens 5 der als "nicht freigabefähig" eingestuften Vials an ein unabhängiges Prüflabor zu übergeben, um die tatsächliche Proteinintegrität zu testen. Wenn die Vials stabilisierbar sind, reduziert sich der Schaden erheblich.</w:t>
      </w:r>
    </w:p>
    <w:p>
      <w:pPr>
        <w:pStyle w:val="Heading3"/>
      </w:pPr>
      <w:r>
        <w:rPr>
          <w:rFonts w:ascii="Times New Roman" w:hAnsi="Times New Roman"/>
        </w:rPr>
        <w:t>2.4 Strategische Relevanz</w:t>
      </w:r>
    </w:p>
    <w:p>
      <w:pPr>
        <w:jc w:val="left"/>
      </w:pPr>
      <w:r>
        <w:t>Die Kritik von Kretschmann kann den geltend gemachten Schaden erheblich reduzieren:</w:t>
      </w:r>
    </w:p>
    <w:p>
      <w:pPr>
        <w:pStyle w:val="ListBullet"/>
      </w:pPr>
      <w:r>
        <w:t>Wenn 30 weitere Vials als verwendbar eingestuft werden: Schadenreduzierung um 2.592.000 EUR</w:t>
      </w:r>
    </w:p>
    <w:p>
      <w:pPr>
        <w:pStyle w:val="ListBullet"/>
      </w:pPr>
      <w:r>
        <w:t>Wenn alle 49 "bedingt verwendbaren" Vials freigegeben werden: Schaden nur 95 Vials × 86.400 EUR = 8.208.000 EUR (unverändert)</w:t>
      </w:r>
    </w:p>
    <w:p>
      <w:pPr>
        <w:pStyle w:val="ListBullet"/>
      </w:pPr>
      <w:r>
        <w:t>Wenn sogar einige der 95 unbrauchbaren Vials zu retten sind: Schaden geringer</w:t>
      </w:r>
    </w:p>
    <w:p>
      <w:pPr>
        <w:jc w:val="left"/>
      </w:pPr>
      <w:r>
        <w:rPr>
          <w:b/>
        </w:rPr>
        <w:t>Antrag:</w:t>
      </w:r>
      <w:r>
        <w:t xml:space="preserve"> Im Klageverfahren Einholung eines gerichtlichen Sachverständigengutachtens zur Frage der tatsächlichen Produktschädigung.</w:t>
      </w:r>
    </w:p>
    <w:p/>
    <w:p>
      <w:pPr>
        <w:pStyle w:val="Heading2"/>
      </w:pPr>
      <w:r>
        <w:rPr>
          <w:rFonts w:ascii="Times New Roman" w:hAnsi="Times New Roman"/>
        </w:rPr>
        <w:t>3. Schadensermittlung und Schadenspositionen</w:t>
      </w:r>
    </w:p>
    <w:p>
      <w:pPr>
        <w:pStyle w:val="Heading3"/>
      </w:pPr>
      <w:r>
        <w:rPr>
          <w:rFonts w:ascii="Times New Roman" w:hAnsi="Times New Roman"/>
        </w:rPr>
        <w:t>3.1 Unmittelbarer Schaden (Warenwert)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Berechnung</w:t>
            </w:r>
          </w:p>
        </w:tc>
        <w:tc>
          <w:tcPr>
            <w:tcW w:type="dxa" w:w="3024"/>
          </w:tcPr>
          <w:p>
            <w:r>
              <w:rPr>
                <w:rFonts w:ascii="Times New Roman" w:hAnsi="Times New Roman"/>
                <w:b/>
                <w:sz w:val="20"/>
              </w:rPr>
              <w:t>Betrag</w:t>
            </w:r>
          </w:p>
        </w:tc>
      </w:tr>
      <w:tr>
        <w:tc>
          <w:tcPr>
            <w:tcW w:type="dxa" w:w="3024"/>
          </w:tcPr>
          <w:p>
            <w:r>
              <w:rPr>
                <w:rFonts w:ascii="Times New Roman" w:hAnsi="Times New Roman"/>
                <w:sz w:val="20"/>
              </w:rPr>
              <w:t>Vernichtete Vials (MediVita-Angabe)</w:t>
            </w:r>
          </w:p>
        </w:tc>
        <w:tc>
          <w:tcPr>
            <w:tcW w:type="dxa" w:w="3024"/>
          </w:tcPr>
          <w:p>
            <w:r>
              <w:rPr>
                <w:rFonts w:ascii="Times New Roman" w:hAnsi="Times New Roman"/>
                <w:sz w:val="20"/>
              </w:rPr>
              <w:t>95 × 86.400 EUR</w:t>
            </w:r>
          </w:p>
        </w:tc>
        <w:tc>
          <w:tcPr>
            <w:tcW w:type="dxa" w:w="3024"/>
          </w:tcPr>
          <w:p>
            <w:r>
              <w:rPr>
                <w:rFonts w:ascii="Times New Roman" w:hAnsi="Times New Roman"/>
                <w:sz w:val="20"/>
              </w:rPr>
              <w:t>8.208.000 EUR</w:t>
            </w:r>
          </w:p>
        </w:tc>
      </w:tr>
      <w:tr>
        <w:tc>
          <w:tcPr>
            <w:tcW w:type="dxa" w:w="3024"/>
          </w:tcPr>
          <w:p>
            <w:r>
              <w:rPr>
                <w:rFonts w:ascii="Times New Roman" w:hAnsi="Times New Roman"/>
                <w:sz w:val="20"/>
              </w:rPr>
              <w:t>Bestrittene Anzahl (Sachverständiger Kretschmann)</w:t>
            </w:r>
          </w:p>
        </w:tc>
        <w:tc>
          <w:tcPr>
            <w:tcW w:type="dxa" w:w="3024"/>
          </w:tcPr>
          <w:p>
            <w:r>
              <w:rPr>
                <w:rFonts w:ascii="Times New Roman" w:hAnsi="Times New Roman"/>
                <w:sz w:val="20"/>
              </w:rPr>
              <w:t>Tatsächlich unbrauchbar: möglicherweise 60–80</w:t>
            </w:r>
          </w:p>
        </w:tc>
        <w:tc>
          <w:tcPr>
            <w:tcW w:type="dxa" w:w="3024"/>
          </w:tcPr>
          <w:p>
            <w:r>
              <w:rPr>
                <w:rFonts w:ascii="Times New Roman" w:hAnsi="Times New Roman"/>
                <w:sz w:val="20"/>
              </w:rPr>
              <w:t>5.184.000–6.912.000 EUR</w:t>
            </w:r>
          </w:p>
        </w:tc>
      </w:tr>
      <w:tr>
        <w:tc>
          <w:tcPr>
            <w:tcW w:type="dxa" w:w="3024"/>
          </w:tcPr>
          <w:p>
            <w:r>
              <w:rPr>
                <w:rFonts w:ascii="Times New Roman" w:hAnsi="Times New Roman"/>
                <w:sz w:val="20"/>
              </w:rPr>
              <w:t>CMR-Haftungshöchstgrenze (Art. 23 Abs. 3)</w:t>
            </w:r>
          </w:p>
        </w:tc>
        <w:tc>
          <w:tcPr>
            <w:tcW w:type="dxa" w:w="3024"/>
          </w:tcPr>
          <w:p>
            <w:r>
              <w:rPr>
                <w:rFonts w:ascii="Times New Roman" w:hAnsi="Times New Roman"/>
                <w:sz w:val="20"/>
              </w:rPr>
              <w:t>348 kg × 8,33 SZR × 1,2427 EUR/SZR</w:t>
            </w:r>
          </w:p>
        </w:tc>
        <w:tc>
          <w:tcPr>
            <w:tcW w:type="dxa" w:w="3024"/>
          </w:tcPr>
          <w:p>
            <w:r>
              <w:rPr>
                <w:rFonts w:ascii="Times New Roman" w:hAnsi="Times New Roman"/>
                <w:sz w:val="20"/>
              </w:rPr>
              <w:t>3.603 EUR</w:t>
            </w:r>
          </w:p>
        </w:tc>
      </w:tr>
    </w:tbl>
    <w:p>
      <w:pPr>
        <w:pStyle w:val="Heading3"/>
      </w:pPr>
      <w:r>
        <w:rPr>
          <w:rFonts w:ascii="Times New Roman" w:hAnsi="Times New Roman"/>
        </w:rPr>
        <w:t>3.2 Folgeschäden (streitig)</w:t>
      </w:r>
    </w:p>
    <w:p>
      <w:pPr>
        <w:jc w:val="left"/>
      </w:pPr>
      <w:r>
        <w:t>MediVita SE macht 250.000 EUR Folgeschäden geltend (HCL Lyon-Rechnung):</w:t>
      </w:r>
    </w:p>
    <w:p>
      <w:pPr>
        <w:pStyle w:val="ListBullet"/>
      </w:pPr>
      <w:r>
        <w:t>Notfall-Ersatzbeschaffung bei Drittanbieter: 180.000 EUR (nicht möglich — kein anderer Lieferant für dieses spezifische Antikörperpräparat unter ATU-Zulassung)</w:t>
      </w:r>
    </w:p>
    <w:p>
      <w:pPr>
        <w:pStyle w:val="ListBullet"/>
      </w:pPr>
      <w:r>
        <w:t>Behandlungsumstellungskosten (Klinik Lyon): 70.000 EUR</w:t>
      </w:r>
    </w:p>
    <w:p>
      <w:pPr>
        <w:jc w:val="left"/>
      </w:pPr>
      <w:r>
        <w:rPr>
          <w:b/>
        </w:rPr>
        <w:t>Rechtliche Bewertung:</w:t>
      </w:r>
      <w:r>
        <w:t xml:space="preserve"> Folgeschäden sind unter Art. 23 Abs. 1 CMR nicht erstattbar (nur Wert der Güter, Fracht, Zölle). Bei Anwendung von Art. 29 CMR (Haftungsdurchbrechung) kommt nationales Recht subsidiär zur Anwendung (Art. 29 Abs. 2 CMR), sodass grundsätzlich auch Folgeschäden erstattbar wären — dies ist ein weiterer Grund, Art. 29 CMR abzuwehren.</w:t>
      </w:r>
    </w:p>
    <w:p/>
    <w:p>
      <w:pPr>
        <w:pStyle w:val="Heading2"/>
      </w:pPr>
      <w:r>
        <w:rPr>
          <w:rFonts w:ascii="Times New Roman" w:hAnsi="Times New Roman"/>
        </w:rPr>
        <w:t>4. Versicherungsdeckung und Eigenbehalt Schwarmstedt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Szenario</w:t>
            </w:r>
          </w:p>
        </w:tc>
        <w:tc>
          <w:tcPr>
            <w:tcW w:type="dxa" w:w="2268"/>
          </w:tcPr>
          <w:p>
            <w:r>
              <w:rPr>
                <w:rFonts w:ascii="Times New Roman" w:hAnsi="Times New Roman"/>
                <w:b/>
                <w:sz w:val="20"/>
              </w:rPr>
              <w:t>Haftung Schwarmstedt</w:t>
            </w:r>
          </w:p>
        </w:tc>
        <w:tc>
          <w:tcPr>
            <w:tcW w:type="dxa" w:w="2268"/>
          </w:tcPr>
          <w:p>
            <w:r>
              <w:rPr>
                <w:rFonts w:ascii="Times New Roman" w:hAnsi="Times New Roman"/>
                <w:b/>
                <w:sz w:val="20"/>
              </w:rPr>
              <w:t>Helvetia-Deckung</w:t>
            </w:r>
          </w:p>
        </w:tc>
        <w:tc>
          <w:tcPr>
            <w:tcW w:type="dxa" w:w="2268"/>
          </w:tcPr>
          <w:p>
            <w:r>
              <w:rPr>
                <w:rFonts w:ascii="Times New Roman" w:hAnsi="Times New Roman"/>
                <w:b/>
                <w:sz w:val="20"/>
              </w:rPr>
              <w:t>Eigenbehalt Schwarmstedt</w:t>
            </w:r>
          </w:p>
        </w:tc>
      </w:tr>
      <w:tr>
        <w:tc>
          <w:tcPr>
            <w:tcW w:type="dxa" w:w="2268"/>
          </w:tcPr>
          <w:p>
            <w:r>
              <w:rPr>
                <w:rFonts w:ascii="Times New Roman" w:hAnsi="Times New Roman"/>
                <w:sz w:val="20"/>
              </w:rPr>
              <w:t>Art. 23 CMR (keine Deckungsdurchbrechung)</w:t>
            </w:r>
          </w:p>
        </w:tc>
        <w:tc>
          <w:tcPr>
            <w:tcW w:type="dxa" w:w="2268"/>
          </w:tcPr>
          <w:p>
            <w:r>
              <w:rPr>
                <w:rFonts w:ascii="Times New Roman" w:hAnsi="Times New Roman"/>
                <w:sz w:val="20"/>
              </w:rPr>
              <w:t>3.603 EUR</w:t>
            </w:r>
          </w:p>
        </w:tc>
        <w:tc>
          <w:tcPr>
            <w:tcW w:type="dxa" w:w="2268"/>
          </w:tcPr>
          <w:p>
            <w:r>
              <w:rPr>
                <w:rFonts w:ascii="Times New Roman" w:hAnsi="Times New Roman"/>
                <w:sz w:val="20"/>
              </w:rPr>
              <w:t>0 EUR</w:t>
            </w:r>
          </w:p>
        </w:tc>
        <w:tc>
          <w:tcPr>
            <w:tcW w:type="dxa" w:w="2268"/>
          </w:tcPr>
          <w:p>
            <w:r>
              <w:rPr>
                <w:rFonts w:ascii="Times New Roman" w:hAnsi="Times New Roman"/>
                <w:sz w:val="20"/>
              </w:rPr>
              <w:t>3.603 EUR</w:t>
            </w:r>
          </w:p>
        </w:tc>
      </w:tr>
      <w:tr>
        <w:tc>
          <w:tcPr>
            <w:tcW w:type="dxa" w:w="2268"/>
          </w:tcPr>
          <w:p>
            <w:r>
              <w:rPr>
                <w:rFonts w:ascii="Times New Roman" w:hAnsi="Times New Roman"/>
                <w:sz w:val="20"/>
              </w:rPr>
              <w:t>Art. 29 CMR + Helvetia zahlt</w:t>
            </w:r>
          </w:p>
        </w:tc>
        <w:tc>
          <w:tcPr>
            <w:tcW w:type="dxa" w:w="2268"/>
          </w:tcPr>
          <w:p>
            <w:r>
              <w:rPr>
                <w:rFonts w:ascii="Times New Roman" w:hAnsi="Times New Roman"/>
                <w:sz w:val="20"/>
              </w:rPr>
              <w:t>8.208.000 EUR</w:t>
            </w:r>
          </w:p>
        </w:tc>
        <w:tc>
          <w:tcPr>
            <w:tcW w:type="dxa" w:w="2268"/>
          </w:tcPr>
          <w:p>
            <w:r>
              <w:rPr>
                <w:rFonts w:ascii="Times New Roman" w:hAnsi="Times New Roman"/>
                <w:sz w:val="20"/>
              </w:rPr>
              <w:t>2.500.000 EUR</w:t>
            </w:r>
          </w:p>
        </w:tc>
        <w:tc>
          <w:tcPr>
            <w:tcW w:type="dxa" w:w="2268"/>
          </w:tcPr>
          <w:p>
            <w:r>
              <w:rPr>
                <w:rFonts w:ascii="Times New Roman" w:hAnsi="Times New Roman"/>
                <w:sz w:val="20"/>
              </w:rPr>
              <w:t>5.708.000 EUR</w:t>
            </w:r>
          </w:p>
        </w:tc>
      </w:tr>
      <w:tr>
        <w:tc>
          <w:tcPr>
            <w:tcW w:type="dxa" w:w="2268"/>
          </w:tcPr>
          <w:p>
            <w:r>
              <w:rPr>
                <w:rFonts w:ascii="Times New Roman" w:hAnsi="Times New Roman"/>
                <w:sz w:val="20"/>
              </w:rPr>
              <w:t>Art. 29 CMR + Helvetia zahlt nicht</w:t>
            </w:r>
          </w:p>
        </w:tc>
        <w:tc>
          <w:tcPr>
            <w:tcW w:type="dxa" w:w="2268"/>
          </w:tcPr>
          <w:p>
            <w:r>
              <w:rPr>
                <w:rFonts w:ascii="Times New Roman" w:hAnsi="Times New Roman"/>
                <w:sz w:val="20"/>
              </w:rPr>
              <w:t>8.208.000 EUR</w:t>
            </w:r>
          </w:p>
        </w:tc>
        <w:tc>
          <w:tcPr>
            <w:tcW w:type="dxa" w:w="2268"/>
          </w:tcPr>
          <w:p>
            <w:r>
              <w:rPr>
                <w:rFonts w:ascii="Times New Roman" w:hAnsi="Times New Roman"/>
                <w:sz w:val="20"/>
              </w:rPr>
              <w:t>0 EUR</w:t>
            </w:r>
          </w:p>
        </w:tc>
        <w:tc>
          <w:tcPr>
            <w:tcW w:type="dxa" w:w="2268"/>
          </w:tcPr>
          <w:p>
            <w:r>
              <w:rPr>
                <w:rFonts w:ascii="Times New Roman" w:hAnsi="Times New Roman"/>
                <w:sz w:val="20"/>
              </w:rPr>
              <w:t>8.208.000 EUR</w:t>
            </w:r>
          </w:p>
        </w:tc>
      </w:tr>
      <w:tr>
        <w:tc>
          <w:tcPr>
            <w:tcW w:type="dxa" w:w="2268"/>
          </w:tcPr>
          <w:p>
            <w:r>
              <w:rPr>
                <w:rFonts w:ascii="Times New Roman" w:hAnsi="Times New Roman"/>
                <w:sz w:val="20"/>
              </w:rPr>
              <w:t>Vergleich (Schätzung)</w:t>
            </w:r>
          </w:p>
        </w:tc>
        <w:tc>
          <w:tcPr>
            <w:tcW w:type="dxa" w:w="2268"/>
          </w:tcPr>
          <w:p>
            <w:r>
              <w:rPr>
                <w:rFonts w:ascii="Times New Roman" w:hAnsi="Times New Roman"/>
                <w:sz w:val="20"/>
              </w:rPr>
              <w:t>100.000–500.000 EUR</w:t>
            </w:r>
          </w:p>
        </w:tc>
        <w:tc>
          <w:tcPr>
            <w:tcW w:type="dxa" w:w="2268"/>
          </w:tcPr>
          <w:p>
            <w:r>
              <w:rPr>
                <w:rFonts w:ascii="Times New Roman" w:hAnsi="Times New Roman"/>
                <w:sz w:val="20"/>
              </w:rPr>
              <w:t>evtl. 100.000–500.000 EUR</w:t>
            </w:r>
          </w:p>
        </w:tc>
        <w:tc>
          <w:tcPr>
            <w:tcW w:type="dxa" w:w="2268"/>
          </w:tcPr>
          <w:p>
            <w:r>
              <w:rPr>
                <w:rFonts w:ascii="Times New Roman" w:hAnsi="Times New Roman"/>
                <w:sz w:val="20"/>
              </w:rPr>
              <w:t>0–100.000 EUR</w:t>
            </w:r>
          </w:p>
        </w:tc>
      </w:tr>
    </w:tbl>
    <w:p>
      <w:pPr>
        <w:jc w:val="left"/>
      </w:pPr>
      <w:r>
        <w:rPr>
          <w:b/>
        </w:rPr>
        <w:t>Fazit:</w:t>
      </w:r>
      <w:r>
        <w:t xml:space="preserve"> Die beste Ausgangslage für Schwarmstedt ist die Verteidigung auf Basis von Art. 23 Abs. 3 CMR. Dies setzt voraus, dass Art. 29 CMR nicht greift — was den Sachverständigenbeweis über die Schadensursache zum Schlüssel des Verfahrens macht.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MediVita SE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MediVita SE</w:t>
    </w:r>
  </w:p>
  <w:p>
    <w:pPr>
      <w:jc w:val="left"/>
      <w:pBdr>
        <w:bottom w:val="single" w:sz="6" w:space="2" w:color="2C5230"/>
      </w:pBdr>
    </w:pPr>
    <w:r>
      <w:rPr>
        <w:rFonts w:ascii="Times New Roman" w:hAnsi="Times New Roman"/>
        <w:color w:val="6B6B66"/>
        <w:sz w:val="16"/>
      </w:rPr>
      <w:t>Warenwert und Schadensermittlung · 9 O 244/26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