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Vergleichsoptionen und Alternative Dispute Resolution</w:t>
      </w:r>
    </w:p>
    <w:p>
      <w:pPr>
        <w:jc w:val="left"/>
      </w:pPr>
      <w:r>
        <w:t>Akte: Alle Verfahren / Schwarmstedt Logistik GmbH</w:t>
      </w:r>
    </w:p>
    <w:p>
      <w:pPr>
        <w:jc w:val="left"/>
      </w:pPr>
      <w:r>
        <w:t>Verfasserin: RAin Dr. Antonia Hammerschmidt</w:t>
      </w:r>
    </w:p>
    <w:p>
      <w:pPr>
        <w:jc w:val="left"/>
      </w:pPr>
      <w:r>
        <w:t>Stand: 02. Mai 2026</w:t>
      </w:r>
    </w:p>
    <w:p/>
    <w:p>
      <w:pPr>
        <w:pStyle w:val="Heading2"/>
      </w:pPr>
      <w:r>
        <w:rPr>
          <w:rFonts w:ascii="Times New Roman" w:hAnsi="Times New Roman"/>
        </w:rPr>
        <w:t>1. Strategische Überlegung: Vergleich vs. streitige Entscheidung</w:t>
      </w:r>
    </w:p>
    <w:p>
      <w:pPr>
        <w:jc w:val="left"/>
      </w:pPr>
      <w:r>
        <w:t>Die Verfahren gegen MediVita SE (LG Hannover) und gegen Helvetia (LG Hamburg) können durch Vergleich oder Urteil enden. Die Entscheidung zwischen Vergleich und streitiger Entscheidung hängt von mehreren Faktoren ab:</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Faktor</w:t>
            </w:r>
          </w:p>
        </w:tc>
        <w:tc>
          <w:tcPr>
            <w:tcW w:type="dxa" w:w="3024"/>
          </w:tcPr>
          <w:p>
            <w:r>
              <w:rPr>
                <w:rFonts w:ascii="Times New Roman" w:hAnsi="Times New Roman"/>
                <w:b/>
                <w:sz w:val="20"/>
              </w:rPr>
              <w:t>Für Vergleich</w:t>
            </w:r>
          </w:p>
        </w:tc>
        <w:tc>
          <w:tcPr>
            <w:tcW w:type="dxa" w:w="3024"/>
          </w:tcPr>
          <w:p>
            <w:r>
              <w:rPr>
                <w:rFonts w:ascii="Times New Roman" w:hAnsi="Times New Roman"/>
                <w:b/>
                <w:sz w:val="20"/>
              </w:rPr>
              <w:t>Für Urteil</w:t>
            </w:r>
          </w:p>
        </w:tc>
      </w:tr>
      <w:tr>
        <w:tc>
          <w:tcPr>
            <w:tcW w:type="dxa" w:w="3024"/>
          </w:tcPr>
          <w:p>
            <w:r>
              <w:rPr>
                <w:rFonts w:ascii="Times New Roman" w:hAnsi="Times New Roman"/>
                <w:sz w:val="20"/>
              </w:rPr>
              <w:t>Verfahrensdauer</w:t>
            </w:r>
          </w:p>
        </w:tc>
        <w:tc>
          <w:tcPr>
            <w:tcW w:type="dxa" w:w="3024"/>
          </w:tcPr>
          <w:p>
            <w:r>
              <w:rPr>
                <w:rFonts w:ascii="Times New Roman" w:hAnsi="Times New Roman"/>
                <w:sz w:val="20"/>
              </w:rPr>
              <w:t>Vergleich: sofort; Urteil: 2–4 Jahre</w:t>
            </w:r>
          </w:p>
        </w:tc>
        <w:tc>
          <w:tcPr>
            <w:tcW w:type="dxa" w:w="3024"/>
          </w:tcPr>
          <w:p>
            <w:r>
              <w:rPr>
                <w:rFonts w:ascii="Times New Roman" w:hAnsi="Times New Roman"/>
                <w:sz w:val="20"/>
              </w:rPr>
              <w:t>Urteil schafft Klarheit</w:t>
            </w:r>
          </w:p>
        </w:tc>
      </w:tr>
      <w:tr>
        <w:tc>
          <w:tcPr>
            <w:tcW w:type="dxa" w:w="3024"/>
          </w:tcPr>
          <w:p>
            <w:r>
              <w:rPr>
                <w:rFonts w:ascii="Times New Roman" w:hAnsi="Times New Roman"/>
                <w:sz w:val="20"/>
              </w:rPr>
              <w:t>Kostenrisiko</w:t>
            </w:r>
          </w:p>
        </w:tc>
        <w:tc>
          <w:tcPr>
            <w:tcW w:type="dxa" w:w="3024"/>
          </w:tcPr>
          <w:p>
            <w:r>
              <w:rPr>
                <w:rFonts w:ascii="Times New Roman" w:hAnsi="Times New Roman"/>
                <w:sz w:val="20"/>
              </w:rPr>
              <w:t>Vergleich: kalkulierbar</w:t>
            </w:r>
          </w:p>
        </w:tc>
        <w:tc>
          <w:tcPr>
            <w:tcW w:type="dxa" w:w="3024"/>
          </w:tcPr>
          <w:p>
            <w:r>
              <w:rPr>
                <w:rFonts w:ascii="Times New Roman" w:hAnsi="Times New Roman"/>
                <w:sz w:val="20"/>
              </w:rPr>
              <w:t>Urteil: hohes Kostenrisiko bei Unterliegen</w:t>
            </w:r>
          </w:p>
        </w:tc>
      </w:tr>
      <w:tr>
        <w:tc>
          <w:tcPr>
            <w:tcW w:type="dxa" w:w="3024"/>
          </w:tcPr>
          <w:p>
            <w:r>
              <w:rPr>
                <w:rFonts w:ascii="Times New Roman" w:hAnsi="Times New Roman"/>
                <w:sz w:val="20"/>
              </w:rPr>
              <w:t>Carrier eTrack-Daten</w:t>
            </w:r>
          </w:p>
        </w:tc>
        <w:tc>
          <w:tcPr>
            <w:tcW w:type="dxa" w:w="3024"/>
          </w:tcPr>
          <w:p>
            <w:r>
              <w:rPr>
                <w:rFonts w:ascii="Times New Roman" w:hAnsi="Times New Roman"/>
                <w:sz w:val="20"/>
              </w:rPr>
              <w:t>Falls nicht verfügbar: Vergleich ratsam</w:t>
            </w:r>
          </w:p>
        </w:tc>
        <w:tc>
          <w:tcPr>
            <w:tcW w:type="dxa" w:w="3024"/>
          </w:tcPr>
          <w:p>
            <w:r>
              <w:rPr>
                <w:rFonts w:ascii="Times New Roman" w:hAnsi="Times New Roman"/>
                <w:sz w:val="20"/>
              </w:rPr>
              <w:t>Falls Defekt belegt: Urteil anstreben</w:t>
            </w:r>
          </w:p>
        </w:tc>
      </w:tr>
      <w:tr>
        <w:tc>
          <w:tcPr>
            <w:tcW w:type="dxa" w:w="3024"/>
          </w:tcPr>
          <w:p>
            <w:r>
              <w:rPr>
                <w:rFonts w:ascii="Times New Roman" w:hAnsi="Times New Roman"/>
                <w:sz w:val="20"/>
              </w:rPr>
              <w:t>Reputationsrisiko</w:t>
            </w:r>
          </w:p>
        </w:tc>
        <w:tc>
          <w:tcPr>
            <w:tcW w:type="dxa" w:w="3024"/>
          </w:tcPr>
          <w:p>
            <w:r>
              <w:rPr>
                <w:rFonts w:ascii="Times New Roman" w:hAnsi="Times New Roman"/>
                <w:sz w:val="20"/>
              </w:rPr>
              <w:t>Vergleich: diskreter</w:t>
            </w:r>
          </w:p>
        </w:tc>
        <w:tc>
          <w:tcPr>
            <w:tcW w:type="dxa" w:w="3024"/>
          </w:tcPr>
          <w:p>
            <w:r>
              <w:rPr>
                <w:rFonts w:ascii="Times New Roman" w:hAnsi="Times New Roman"/>
                <w:sz w:val="20"/>
              </w:rPr>
              <w:t>Urteil: öffentlich</w:t>
            </w:r>
          </w:p>
        </w:tc>
      </w:tr>
      <w:tr>
        <w:tc>
          <w:tcPr>
            <w:tcW w:type="dxa" w:w="3024"/>
          </w:tcPr>
          <w:p>
            <w:r>
              <w:rPr>
                <w:rFonts w:ascii="Times New Roman" w:hAnsi="Times New Roman"/>
                <w:sz w:val="20"/>
              </w:rPr>
              <w:t>Regresschancen</w:t>
            </w:r>
          </w:p>
        </w:tc>
        <w:tc>
          <w:tcPr>
            <w:tcW w:type="dxa" w:w="3024"/>
          </w:tcPr>
          <w:p>
            <w:r>
              <w:rPr>
                <w:rFonts w:ascii="Times New Roman" w:hAnsi="Times New Roman"/>
                <w:sz w:val="20"/>
              </w:rPr>
              <w:t>Vergleich klärt nicht automatisch Regress</w:t>
            </w:r>
          </w:p>
        </w:tc>
        <w:tc>
          <w:tcPr>
            <w:tcW w:type="dxa" w:w="3024"/>
          </w:tcPr>
          <w:p>
            <w:r>
              <w:rPr>
                <w:rFonts w:ascii="Times New Roman" w:hAnsi="Times New Roman"/>
                <w:sz w:val="20"/>
              </w:rPr>
              <w:t>Urteil erleichtert Regress bei Petrescu</w:t>
            </w:r>
          </w:p>
        </w:tc>
      </w:tr>
    </w:tbl>
    <w:p/>
    <w:p>
      <w:pPr>
        <w:pStyle w:val="Heading2"/>
      </w:pPr>
      <w:r>
        <w:rPr>
          <w:rFonts w:ascii="Times New Roman" w:hAnsi="Times New Roman"/>
        </w:rPr>
        <w:t>2. Vergleichskorridore</w:t>
      </w:r>
    </w:p>
    <w:p>
      <w:pPr>
        <w:pStyle w:val="Heading3"/>
      </w:pPr>
      <w:r>
        <w:rPr>
          <w:rFonts w:ascii="Times New Roman" w:hAnsi="Times New Roman"/>
        </w:rPr>
        <w:t>2.1 MediVita SE (LG Hannover 9 O 244/26)</w:t>
      </w:r>
    </w:p>
    <w:p>
      <w:pPr>
        <w:jc w:val="left"/>
      </w:pPr>
      <w:r>
        <w:rPr>
          <w:b/>
        </w:rPr>
        <w:t>MediVita-Ausgangsposition:</w:t>
      </w:r>
      <w:r>
        <w:t xml:space="preserve"> 8.458.000 EUR</w:t>
      </w:r>
    </w:p>
    <w:p>
      <w:pPr>
        <w:jc w:val="left"/>
      </w:pPr>
      <w:r>
        <w:rPr>
          <w:b/>
        </w:rPr>
        <w:t>Schwarmstedt-Gegenposition:</w:t>
      </w:r>
      <w:r>
        <w:t xml:space="preserve"> 3.603 EUR (Art. 23 Abs. 3 CMR)</w:t>
      </w:r>
    </w:p>
    <w:p>
      <w:pPr>
        <w:jc w:val="left"/>
      </w:pPr>
      <w:r>
        <w:t>Realistischer Vergleichskorridor unter Berücksichtigung:</w:t>
      </w:r>
    </w:p>
    <w:p>
      <w:pPr>
        <w:pStyle w:val="ListBullet"/>
      </w:pPr>
      <w:r>
        <w:t>SV-Gutachten Kretschmann (günstig für Schwarmstedt)</w:t>
      </w:r>
    </w:p>
    <w:p>
      <w:pPr>
        <w:pStyle w:val="ListBullet"/>
      </w:pPr>
      <w:r>
        <w:t>Unsicherheit Art. 29 CMR</w:t>
      </w:r>
    </w:p>
    <w:p>
      <w:pPr>
        <w:pStyle w:val="ListBullet"/>
      </w:pPr>
      <w:r>
        <w:t>Verfahrenskosten für beide Seiten bei ca. 600.000–800.000 EUR (4 Jahre bis BGH)</w:t>
      </w:r>
    </w:p>
    <w:p>
      <w:pPr>
        <w:pStyle w:val="ListBullet"/>
      </w:pPr>
      <w:r>
        <w:t>Solvenz Schwarmstedt (38 Mio. EUR Umsatz, aber begrenzte Liquiditätsreserven)</w:t>
      </w:r>
    </w:p>
    <w:p>
      <w:pPr>
        <w:jc w:val="left"/>
      </w:pPr>
      <w:r>
        <w:rPr>
          <w:b/>
        </w:rPr>
        <w:t>Vergleichskorridore: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Betrag</w:t>
            </w:r>
          </w:p>
        </w:tc>
        <w:tc>
          <w:tcPr>
            <w:tcW w:type="dxa" w:w="3024"/>
          </w:tcPr>
          <w:p>
            <w:r>
              <w:rPr>
                <w:rFonts w:ascii="Times New Roman" w:hAnsi="Times New Roman"/>
                <w:b/>
                <w:sz w:val="20"/>
              </w:rPr>
              <w:t>Voraussetzung</w:t>
            </w:r>
          </w:p>
        </w:tc>
      </w:tr>
      <w:tr>
        <w:tc>
          <w:tcPr>
            <w:tcW w:type="dxa" w:w="3024"/>
          </w:tcPr>
          <w:p>
            <w:r>
              <w:rPr>
                <w:rFonts w:ascii="Times New Roman" w:hAnsi="Times New Roman"/>
                <w:sz w:val="20"/>
              </w:rPr>
              <w:t>"Deal" — früher Vergleich (vor Klageerwiderung)</w:t>
            </w:r>
          </w:p>
        </w:tc>
        <w:tc>
          <w:tcPr>
            <w:tcW w:type="dxa" w:w="3024"/>
          </w:tcPr>
          <w:p>
            <w:r>
              <w:rPr>
                <w:rFonts w:ascii="Times New Roman" w:hAnsi="Times New Roman"/>
                <w:sz w:val="20"/>
              </w:rPr>
              <w:t>80.000–150.000 EUR</w:t>
            </w:r>
          </w:p>
        </w:tc>
        <w:tc>
          <w:tcPr>
            <w:tcW w:type="dxa" w:w="3024"/>
          </w:tcPr>
          <w:p>
            <w:r>
              <w:rPr>
                <w:rFonts w:ascii="Times New Roman" w:hAnsi="Times New Roman"/>
                <w:sz w:val="20"/>
              </w:rPr>
              <w:t>Kretschmann-Gutachten positiv; MediVita will schnell abschließen</w:t>
            </w:r>
          </w:p>
        </w:tc>
      </w:tr>
      <w:tr>
        <w:tc>
          <w:tcPr>
            <w:tcW w:type="dxa" w:w="3024"/>
          </w:tcPr>
          <w:p>
            <w:r>
              <w:rPr>
                <w:rFonts w:ascii="Times New Roman" w:hAnsi="Times New Roman"/>
                <w:sz w:val="20"/>
              </w:rPr>
              <w:t>"Mittler Vergleich" (nach erster Verhandlung)</w:t>
            </w:r>
          </w:p>
        </w:tc>
        <w:tc>
          <w:tcPr>
            <w:tcW w:type="dxa" w:w="3024"/>
          </w:tcPr>
          <w:p>
            <w:r>
              <w:rPr>
                <w:rFonts w:ascii="Times New Roman" w:hAnsi="Times New Roman"/>
                <w:sz w:val="20"/>
              </w:rPr>
              <w:t>200.000–500.000 EUR</w:t>
            </w:r>
          </w:p>
        </w:tc>
        <w:tc>
          <w:tcPr>
            <w:tcW w:type="dxa" w:w="3024"/>
          </w:tcPr>
          <w:p>
            <w:r>
              <w:rPr>
                <w:rFonts w:ascii="Times New Roman" w:hAnsi="Times New Roman"/>
                <w:sz w:val="20"/>
              </w:rPr>
              <w:t>Kretschmann-Gutachten positiv; Gericht gibt Hinweise</w:t>
            </w:r>
          </w:p>
        </w:tc>
      </w:tr>
      <w:tr>
        <w:tc>
          <w:tcPr>
            <w:tcW w:type="dxa" w:w="3024"/>
          </w:tcPr>
          <w:p>
            <w:r>
              <w:rPr>
                <w:rFonts w:ascii="Times New Roman" w:hAnsi="Times New Roman"/>
                <w:sz w:val="20"/>
              </w:rPr>
              <w:t>"Spätvergleich" (nach SV-Gutachten)</w:t>
            </w:r>
          </w:p>
        </w:tc>
        <w:tc>
          <w:tcPr>
            <w:tcW w:type="dxa" w:w="3024"/>
          </w:tcPr>
          <w:p>
            <w:r>
              <w:rPr>
                <w:rFonts w:ascii="Times New Roman" w:hAnsi="Times New Roman"/>
                <w:sz w:val="20"/>
              </w:rPr>
              <w:t>100.000–300.000 EUR</w:t>
            </w:r>
          </w:p>
        </w:tc>
        <w:tc>
          <w:tcPr>
            <w:tcW w:type="dxa" w:w="3024"/>
          </w:tcPr>
          <w:p>
            <w:r>
              <w:rPr>
                <w:rFonts w:ascii="Times New Roman" w:hAnsi="Times New Roman"/>
                <w:sz w:val="20"/>
              </w:rPr>
              <w:t>Wenn SV-Gutachten Kühlaggregat-Defekt bestätigt</w:t>
            </w:r>
          </w:p>
        </w:tc>
      </w:tr>
      <w:tr>
        <w:tc>
          <w:tcPr>
            <w:tcW w:type="dxa" w:w="3024"/>
          </w:tcPr>
          <w:p>
            <w:r>
              <w:rPr>
                <w:rFonts w:ascii="Times New Roman" w:hAnsi="Times New Roman"/>
                <w:sz w:val="20"/>
              </w:rPr>
              <w:t>"Ungünstiger Vergleich" (nach Art. 29-Hinweis durch Gericht)</w:t>
            </w:r>
          </w:p>
        </w:tc>
        <w:tc>
          <w:tcPr>
            <w:tcW w:type="dxa" w:w="3024"/>
          </w:tcPr>
          <w:p>
            <w:r>
              <w:rPr>
                <w:rFonts w:ascii="Times New Roman" w:hAnsi="Times New Roman"/>
                <w:sz w:val="20"/>
              </w:rPr>
              <w:t>1.000.000–3.000.000 EUR</w:t>
            </w:r>
          </w:p>
        </w:tc>
        <w:tc>
          <w:tcPr>
            <w:tcW w:type="dxa" w:w="3024"/>
          </w:tcPr>
          <w:p>
            <w:r>
              <w:rPr>
                <w:rFonts w:ascii="Times New Roman" w:hAnsi="Times New Roman"/>
                <w:sz w:val="20"/>
              </w:rPr>
              <w:t>Gericht tendiert zu Art. 29 CMR</w:t>
            </w:r>
          </w:p>
        </w:tc>
      </w:tr>
    </w:tbl>
    <w:p>
      <w:pPr>
        <w:jc w:val="left"/>
      </w:pPr>
      <w:r>
        <w:rPr>
          <w:b/>
        </w:rPr>
        <w:t>Empfehlung:</w:t>
      </w:r>
      <w:r>
        <w:t xml:space="preserve"> Frühzeitig Vergleichsbereitschaft signalisieren, aber Klageerwiderung vollständig einreichen (als Verhandlungsgrundlage). Nach Kretschmann-Gutachten Vergleichsinitiative ergreifen.</w:t>
      </w:r>
    </w:p>
    <w:p>
      <w:pPr>
        <w:pStyle w:val="Heading3"/>
      </w:pPr>
      <w:r>
        <w:rPr>
          <w:rFonts w:ascii="Times New Roman" w:hAnsi="Times New Roman"/>
        </w:rPr>
        <w:t>2.2 Helvetia (LG Hamburg 327 O 88/26)</w:t>
      </w:r>
    </w:p>
    <w:p>
      <w:pPr>
        <w:jc w:val="left"/>
      </w:pPr>
      <w:r>
        <w:rPr>
          <w:b/>
        </w:rPr>
        <w:t>Klageziel:</w:t>
      </w:r>
      <w:r>
        <w:t xml:space="preserve"> 2.500.000 EUR (Deckungssumme je Schadensfall)</w:t>
      </w:r>
    </w:p>
    <w:p>
      <w:pPr>
        <w:jc w:val="left"/>
      </w:pPr>
      <w:r>
        <w:rPr>
          <w:b/>
        </w:rPr>
        <w:t>Helvetia-Position:</w:t>
      </w:r>
      <w:r>
        <w:t xml:space="preserve"> Keine Deckung (Obliegenheitsverletzung)</w:t>
      </w:r>
    </w:p>
    <w:p>
      <w:pPr>
        <w:jc w:val="left"/>
      </w:pPr>
      <w:r>
        <w:t>Vergleichskorridor:</w:t>
      </w:r>
    </w:p>
    <w:p>
      <w:pPr>
        <w:pStyle w:val="ListBullet"/>
      </w:pPr>
      <w:r>
        <w:t>Helvetia zahlt 50% Deckung (1.250.000 EUR) bei Einstellung des Verfahrens: möglich</w:t>
      </w:r>
    </w:p>
    <w:p>
      <w:pPr>
        <w:pStyle w:val="ListBullet"/>
      </w:pPr>
      <w:r>
        <w:t>Helvetia zahlt 80% (2.000.000 EUR) bei Einstellung und Verschärfung der Policebedingungen: möglich</w:t>
      </w:r>
    </w:p>
    <w:p>
      <w:pPr>
        <w:pStyle w:val="ListBullet"/>
      </w:pPr>
      <w:r>
        <w:t>Helvetia zahlt 0%: Falls AVB-Klausel gerichtlich bestätigt wird</w:t>
      </w:r>
    </w:p>
    <w:p>
      <w:pPr>
        <w:jc w:val="left"/>
      </w:pPr>
      <w:r>
        <w:rPr>
          <w:b/>
        </w:rPr>
        <w:t>Empfehlung:</w:t>
      </w:r>
      <w:r>
        <w:t xml:space="preserve"> Vergleichsgespräch mit Helvetia vor der zweiten Verhandlung (voraussichtlich 2027); vorher Informationen aus dem LG Hannover-Verfahren nutzen (falls MediVita-Verfahren zugunsten Schwarmstedts ausgeht, hat Helvetia wenig Druck, zu zahlen).</w:t>
      </w:r>
    </w:p>
    <w:p/>
    <w:p>
      <w:pPr>
        <w:pStyle w:val="Heading2"/>
      </w:pPr>
      <w:r>
        <w:rPr>
          <w:rFonts w:ascii="Times New Roman" w:hAnsi="Times New Roman"/>
        </w:rPr>
        <w:t>3. Mediation</w:t>
      </w:r>
    </w:p>
    <w:p>
      <w:pPr>
        <w:pStyle w:val="Heading3"/>
      </w:pPr>
      <w:r>
        <w:rPr>
          <w:rFonts w:ascii="Times New Roman" w:hAnsi="Times New Roman"/>
        </w:rPr>
        <w:t>3.1 CMR-Streitigkeiten und Mediation</w:t>
      </w:r>
    </w:p>
    <w:p>
      <w:pPr>
        <w:jc w:val="left"/>
      </w:pPr>
      <w:r>
        <w:t>Die DSLV (Deutscher Speditions- und Logistikverband e.V.) und der VDV (Verband Deutscher Verkehrsunternehmen) bieten Mediationsverfahren für Transportrechtsstreitigkeiten an. Eine Mediation wäre im Hinblick auf das Verfahren MediVita vs. Schwarmstedt denkbar, erfordert aber die Zustimmung beider Parteien.</w:t>
      </w:r>
    </w:p>
    <w:p>
      <w:pPr>
        <w:jc w:val="left"/>
      </w:pPr>
      <w:r>
        <w:t>MediVita SE (vertreten durch Pottwitz Stinkmorchel) hat bisher keine Vergleichsbereitschaft signalisiert. Pottwitz Stinkmorchel steht in der Praxis oft für harte Verhandlungsführung. Es ist jedoch möglich, dass MediVita SE intern auf schnelle Schadensregelung drängt (Bilanzierung: 8,2 Mio. EUR Forderung als unsichere Forderung in der Rechnungslegung belastet die Bilanz).</w:t>
      </w:r>
    </w:p>
    <w:p>
      <w:pPr>
        <w:jc w:val="left"/>
      </w:pPr>
      <w:r>
        <w:rPr>
          <w:b/>
        </w:rPr>
        <w:t>Maßnahme:</w:t>
      </w:r>
      <w:r>
        <w:t xml:space="preserve"> Anfang Mai 2026 informelles Gespräch mit Pottwitz Stinkmorchel-Partnerin Dr. Vasterling suchen (ohne Präjudiz).</w:t>
      </w:r>
    </w:p>
    <w:p>
      <w:pPr>
        <w:pStyle w:val="Heading3"/>
      </w:pPr>
      <w:r>
        <w:rPr>
          <w:rFonts w:ascii="Times New Roman" w:hAnsi="Times New Roman"/>
        </w:rPr>
        <w:t>3.2 ADR-Klausel im Subfrachtvertrag</w:t>
      </w:r>
    </w:p>
    <w:p>
      <w:pPr>
        <w:jc w:val="left"/>
      </w:pPr>
      <w:r>
        <w:t>Der Subfrachtvertrag Schwarmstedt/Petrescu enthält keine ADR-Klausel (Schiedsgerichtsklausel oder Mediationsklausel). Für zukünftige Subfrachtverträge empfehle ich:</w:t>
      </w:r>
    </w:p>
    <w:p>
      <w:pPr>
        <w:jc w:val="left"/>
      </w:pPr>
      <w:r>
        <w:t>Muster-ADR-Klausel: "Alle Streitigkeiten aus diesem Vertrag, einschließlich Streitigkeiten über dessen Abschluss, Gültigkeit, Verletzung oder Beendigung, werden nach der Mediationsordnung des DIS (Deutschen Institut für Schiedsgerichtsbarkeit e.V.) durch Mediation beigelegt. Scheitert die Mediation, werden alle Streitigkeiten durch ein nach der DIS-Schiedsgerichtsordnung gebildetes Schiedsgericht mit Sitz in Hamburg unter Ausschluss des ordentlichen Rechtswegs endgültig entschieden."</w:t>
      </w:r>
    </w:p>
    <w:p/>
    <w:p>
      <w:pPr>
        <w:pStyle w:val="Heading2"/>
      </w:pPr>
      <w:r>
        <w:rPr>
          <w:rFonts w:ascii="Times New Roman" w:hAnsi="Times New Roman"/>
        </w:rPr>
        <w:t>4. Strafprozessuale Einstellungsmöglichkeiten (StA Hannover)</w:t>
      </w:r>
    </w:p>
    <w:p>
      <w:pPr>
        <w:pStyle w:val="Heading3"/>
      </w:pPr>
      <w:r>
        <w:rPr>
          <w:rFonts w:ascii="Times New Roman" w:hAnsi="Times New Roman"/>
        </w:rPr>
        <w:t>4.1 § 153a StPO — Einstellung gegen Auflage</w:t>
      </w:r>
    </w:p>
    <w:p>
      <w:pPr>
        <w:jc w:val="left"/>
      </w:pPr>
      <w:r>
        <w:t>Im Ermittlungsverfahren StA Hannover (Az. 9300 UJs 21188/26, Embargo-Verdacht) besteht die Möglichkeit einer Einstellung nach § 153a StPO gegen Zahlung einer Geldauflage, sofern die Schuld gering wäre und kein öffentliches Interesse an der Strafverfolgung besteht.</w:t>
      </w:r>
    </w:p>
    <w:p>
      <w:pPr>
        <w:jc w:val="left"/>
      </w:pPr>
      <w:r>
        <w:rPr>
          <w:b/>
        </w:rPr>
        <w:t>Voraussetzungen für § 153a StPO:</w:t>
      </w:r>
    </w:p>
    <w:p>
      <w:pPr>
        <w:pStyle w:val="ListBullet"/>
      </w:pPr>
      <w:r>
        <w:t>Vergehen, keine Verbrechensverdacht (§ 12 Abs. 2 StGB: Vergehen bis zu 5 Jahren — hier passend)</w:t>
      </w:r>
    </w:p>
    <w:p>
      <w:pPr>
        <w:pStyle w:val="ListBullet"/>
      </w:pPr>
      <w:r>
        <w:t>Kooperationsbereitschaft des Beschuldigten</w:t>
      </w:r>
    </w:p>
    <w:p>
      <w:pPr>
        <w:pStyle w:val="ListBullet"/>
      </w:pPr>
      <w:r>
        <w:t>Zahlung einer Geldbuße an gemeinnützige Einrichtung oder Staatskasse (§ 153a Abs. 1 Satz 2 Nr. 2 StPO)</w:t>
      </w:r>
    </w:p>
    <w:p>
      <w:pPr>
        <w:jc w:val="left"/>
      </w:pPr>
      <w:r>
        <w:rPr>
          <w:b/>
        </w:rPr>
        <w:t>Einschätzung:</w:t>
      </w:r>
      <w:r>
        <w:t xml:space="preserve"> Wenn sich herausstellt, dass Schwarmstedt tatsächlich keine Kenntnis von der Sanktionslisten-Weiterleitung hatte, ist § 153a StPO eine realistische Option. Ich werde dies nach Akteneinsicht (beantragt 05. April 2026) konkret bewerten.</w:t>
      </w:r>
    </w:p>
    <w:p>
      <w:pPr>
        <w:pStyle w:val="Heading3"/>
      </w:pPr>
      <w:r>
        <w:rPr>
          <w:rFonts w:ascii="Times New Roman" w:hAnsi="Times New Roman"/>
        </w:rPr>
        <w:t>4.2 Verfahrenseinstellung nach § 170 Abs. 2 StPO</w:t>
      </w:r>
    </w:p>
    <w:p>
      <w:pPr>
        <w:jc w:val="left"/>
      </w:pPr>
      <w:r>
        <w:t>Falls die Ermittlungen ergeben, dass kein hinreichender Tatverdacht gegen Schwarmstedt besteht (mangels Kenntnis von der Weiterleitung), ist eine Einstellung nach § 170 Abs. 2 StPO möglich. Dies wäre die beste Lösung.</w:t>
      </w:r>
    </w:p>
    <w:p/>
    <w:p>
      <w:pPr>
        <w:pStyle w:val="Heading2"/>
      </w:pPr>
      <w:r>
        <w:rPr>
          <w:rFonts w:ascii="Times New Roman" w:hAnsi="Times New Roman"/>
        </w:rPr>
        <w:t>5. Bußgeldverfahren OWi — Verhandlungsstrategie</w:t>
      </w:r>
    </w:p>
    <w:p>
      <w:pPr>
        <w:jc w:val="left"/>
      </w:pPr>
      <w:r>
        <w:t>Im AG Hannover OWi 31a OWi 4188 Js 7711/26 sind folgende Strategien möglich:</w:t>
      </w:r>
    </w:p>
    <w:p>
      <w:pPr>
        <w:jc w:val="left"/>
      </w:pPr>
      <w:r>
        <w:t xml:space="preserve">(a) </w:t>
      </w:r>
      <w:r>
        <w:rPr>
          <w:b/>
        </w:rPr>
        <w:t>Freispruch nach Hauptverhandlung</w:t>
      </w:r>
      <w:r>
        <w:t xml:space="preserve"> (Primärziel): Das Gericht stellt fest, dass Schwarmstedt keine eigene Ordnungswidrigkeit begangen hat.</w:t>
      </w:r>
    </w:p>
    <w:p>
      <w:pPr>
        <w:jc w:val="left"/>
      </w:pPr>
      <w:r>
        <w:t xml:space="preserve">(b) </w:t>
      </w:r>
      <w:r>
        <w:rPr>
          <w:b/>
        </w:rPr>
        <w:t>Einstellung gegen Auflage (§ 47 OWiG analog):</w:t>
      </w:r>
      <w:r>
        <w:t xml:space="preserve"> Der Bußgeldrahmen von 25.000 EUR könnte auf 5.000–10.000 EUR reduziert werden, wenn das Gericht ein geringes Verschulden feststellt.</w:t>
      </w:r>
    </w:p>
    <w:p>
      <w:pPr>
        <w:jc w:val="left"/>
      </w:pPr>
      <w:r>
        <w:t xml:space="preserve">(c) </w:t>
      </w:r>
      <w:r>
        <w:rPr>
          <w:b/>
        </w:rPr>
        <w:t>Akzeptanz mit reduziertem Bußgeld:</w:t>
      </w:r>
      <w:r>
        <w:t xml:space="preserve"> Falls Freispruch nicht erreichbar, möglicherweise Verhandlungslösung mit BALM auf 5.000–8.000 EUR.</w:t>
      </w:r>
    </w:p>
    <w:p/>
    <w:p>
      <w:pPr>
        <w:pStyle w:val="Heading2"/>
      </w:pPr>
      <w:r>
        <w:rPr>
          <w:rFonts w:ascii="Times New Roman" w:hAnsi="Times New Roman"/>
        </w:rPr>
        <w:t>6. Gesamtstrategie — Verfahrenspyramide</w:t>
      </w:r>
    </w:p>
    <w:p>
      <w:pPr>
        <w:jc w:val="left"/>
      </w:pPr>
      <w:r>
        <w:t>Die Verfahren sind miteinander verknüpft. Folgende Reihenfolge macht strategisch Sinn:</w:t>
      </w:r>
    </w:p>
    <w:p>
      <w:pPr>
        <w:jc w:val="left"/>
      </w:pPr>
      <w:r>
        <w:rPr>
          <w:b/>
        </w:rPr>
        <w:t>Priorität 1 (sofort):</w:t>
      </w:r>
    </w:p>
    <w:p>
      <w:pPr>
        <w:pStyle w:val="ListBullet"/>
      </w:pPr>
      <w:r>
        <w:t>Carrier eTrack-Daten sichern (entscheidend für LG Hannover)</w:t>
      </w:r>
    </w:p>
    <w:p>
      <w:pPr>
        <w:pStyle w:val="ListBullet"/>
      </w:pPr>
      <w:r>
        <w:t>Compliance-Maßnahmen einführen (Sanktionslisten, DSGVO, Tachograph)</w:t>
      </w:r>
    </w:p>
    <w:p>
      <w:pPr>
        <w:pStyle w:val="ListBullet"/>
      </w:pPr>
      <w:r>
        <w:t>Akteneinsicht StA Hannover abwarten</w:t>
      </w:r>
    </w:p>
    <w:p>
      <w:pPr>
        <w:jc w:val="left"/>
      </w:pPr>
      <w:r>
        <w:rPr>
          <w:b/>
        </w:rPr>
        <w:t>Priorität 2 (Mai 2026):</w:t>
      </w:r>
    </w:p>
    <w:p>
      <w:pPr>
        <w:pStyle w:val="ListBullet"/>
      </w:pPr>
      <w:r>
        <w:t>Klageerwiderung LG Hannover einreichen</w:t>
      </w:r>
    </w:p>
    <w:p>
      <w:pPr>
        <w:pStyle w:val="ListBullet"/>
      </w:pPr>
      <w:r>
        <w:t>Klagebegründung LG Hamburg einreichen</w:t>
      </w:r>
    </w:p>
    <w:p>
      <w:pPr>
        <w:pStyle w:val="ListBullet"/>
      </w:pPr>
      <w:r>
        <w:t>Informelles Gespräch mit Pottwitz Stinkmorchel suchen</w:t>
      </w:r>
    </w:p>
    <w:p>
      <w:pPr>
        <w:jc w:val="left"/>
      </w:pPr>
      <w:r>
        <w:rPr>
          <w:b/>
        </w:rPr>
        <w:t>Priorität 3 (Juni–September 2026):</w:t>
      </w:r>
    </w:p>
    <w:p>
      <w:pPr>
        <w:pStyle w:val="ListBullet"/>
      </w:pPr>
      <w:r>
        <w:t>OWi-Verhandlung AG Hannover vorbereiten</w:t>
      </w:r>
    </w:p>
    <w:p>
      <w:pPr>
        <w:pStyle w:val="ListBullet"/>
      </w:pPr>
      <w:r>
        <w:t>Vergleichsgespräche MediVita aufnehmen (wenn Kretschmann-Gutachten positiv)</w:t>
      </w:r>
    </w:p>
    <w:p>
      <w:pPr>
        <w:pStyle w:val="ListBullet"/>
      </w:pPr>
      <w:r>
        <w:t>Regressklage gegen Petrescu vorbereiten</w:t>
      </w:r>
    </w:p>
    <w:p>
      <w:pPr>
        <w:jc w:val="left"/>
      </w:pPr>
      <w:r>
        <w:rPr>
          <w:b/>
        </w:rPr>
        <w:t>Priorität 4 (ab Q4 2026):</w:t>
      </w:r>
    </w:p>
    <w:p>
      <w:pPr>
        <w:pStyle w:val="ListBullet"/>
      </w:pPr>
      <w:r>
        <w:t>LG Hannover erste Verhandlung</w:t>
      </w:r>
    </w:p>
    <w:p>
      <w:pPr>
        <w:pStyle w:val="ListBullet"/>
      </w:pPr>
      <w:r>
        <w:t>LG Hamburg erste Verhandlung</w:t>
      </w:r>
    </w:p>
    <w:p>
      <w:pPr>
        <w:pStyle w:val="ListBullet"/>
      </w:pPr>
      <w:r>
        <w:t>Ergebnis § 170 StPO abwarten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Schwarmstedt 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Schwarmstedt Logistik GmbH</w:t>
    </w:r>
  </w:p>
  <w:p>
    <w:pPr>
      <w:jc w:val="left"/>
      <w:pBdr>
        <w:bottom w:val="single" w:sz="6" w:space="2" w:color="7B2D3B"/>
      </w:pBdr>
    </w:pPr>
    <w:r>
      <w:rPr>
        <w:rFonts w:ascii="Times New Roman" w:hAnsi="Times New Roman"/>
        <w:color w:val="6B6B66"/>
        <w:sz w:val="16"/>
      </w:rPr>
      <w:t>Unternehmen · 9 O 244/26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