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Verfahrenschronologie und Ausblick — Stand Mai 2026</w:t>
      </w:r>
    </w:p>
    <w:p>
      <w:pPr>
        <w:jc w:val="left"/>
      </w:pPr>
      <w:r>
        <w:t>Akte: Alle Verfahren / Schwarmstedt Logistik GmbH</w:t>
      </w:r>
    </w:p>
    <w:p>
      <w:pPr>
        <w:jc w:val="left"/>
      </w:pPr>
      <w:r>
        <w:t>Verfasserin: RAin Dr. Antonia Hammerschmidt</w:t>
      </w:r>
    </w:p>
    <w:p>
      <w:pPr>
        <w:jc w:val="left"/>
      </w:pPr>
      <w:r>
        <w:t>Stand: 08. Mai 2026</w:t>
      </w:r>
    </w:p>
    <w:p/>
    <w:p>
      <w:pPr>
        <w:pStyle w:val="Heading2"/>
      </w:pPr>
      <w:r>
        <w:rPr>
          <w:rFonts w:ascii="Times New Roman" w:hAnsi="Times New Roman"/>
        </w:rPr>
        <w:t>1. Chronologie der Ereignisse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Ereignis</w:t>
            </w:r>
          </w:p>
        </w:tc>
        <w:tc>
          <w:tcPr>
            <w:tcW w:type="dxa" w:w="3024"/>
          </w:tcPr>
          <w:p>
            <w:r>
              <w:rPr>
                <w:rFonts w:ascii="Times New Roman" w:hAnsi="Times New Roman"/>
                <w:b/>
                <w:sz w:val="20"/>
              </w:rPr>
              <w:t>Bedeutung</w:t>
            </w:r>
          </w:p>
        </w:tc>
      </w:tr>
      <w:tr>
        <w:tc>
          <w:tcPr>
            <w:tcW w:type="dxa" w:w="3024"/>
          </w:tcPr>
          <w:p>
            <w:r>
              <w:rPr>
                <w:rFonts w:ascii="Times New Roman" w:hAnsi="Times New Roman"/>
                <w:sz w:val="20"/>
              </w:rPr>
              <w:t>18.12.2025</w:t>
            </w:r>
          </w:p>
        </w:tc>
        <w:tc>
          <w:tcPr>
            <w:tcW w:type="dxa" w:w="3024"/>
          </w:tcPr>
          <w:p>
            <w:r>
              <w:rPr>
                <w:rFonts w:ascii="Times New Roman" w:hAnsi="Times New Roman"/>
                <w:sz w:val="20"/>
              </w:rPr>
              <w:t>Speditionsauftrag MediVita SE (Ref. MV-LOG-2025-8812)</w:t>
            </w:r>
          </w:p>
        </w:tc>
        <w:tc>
          <w:tcPr>
            <w:tcW w:type="dxa" w:w="3024"/>
          </w:tcPr>
          <w:p>
            <w:r>
              <w:rPr>
                <w:rFonts w:ascii="Times New Roman" w:hAnsi="Times New Roman"/>
                <w:sz w:val="20"/>
              </w:rPr>
              <w:t>Vertragsschluss</w:t>
            </w:r>
          </w:p>
        </w:tc>
      </w:tr>
      <w:tr>
        <w:tc>
          <w:tcPr>
            <w:tcW w:type="dxa" w:w="3024"/>
          </w:tcPr>
          <w:p>
            <w:r>
              <w:rPr>
                <w:rFonts w:ascii="Times New Roman" w:hAnsi="Times New Roman"/>
                <w:sz w:val="20"/>
              </w:rPr>
              <w:t>12.01.2026</w:t>
            </w:r>
          </w:p>
        </w:tc>
        <w:tc>
          <w:tcPr>
            <w:tcW w:type="dxa" w:w="3024"/>
          </w:tcPr>
          <w:p>
            <w:r>
              <w:rPr>
                <w:rFonts w:ascii="Times New Roman" w:hAnsi="Times New Roman"/>
                <w:sz w:val="20"/>
              </w:rPr>
              <w:t>Fahrtantritt Catalin Petrescu, Wuppertal</w:t>
            </w:r>
          </w:p>
        </w:tc>
        <w:tc>
          <w:tcPr>
            <w:tcW w:type="dxa" w:w="3024"/>
          </w:tcPr>
          <w:p>
            <w:r>
              <w:rPr>
                <w:rFonts w:ascii="Times New Roman" w:hAnsi="Times New Roman"/>
                <w:sz w:val="20"/>
              </w:rPr>
              <w:t>Transportbeginn</w:t>
            </w:r>
          </w:p>
        </w:tc>
      </w:tr>
      <w:tr>
        <w:tc>
          <w:tcPr>
            <w:tcW w:type="dxa" w:w="3024"/>
          </w:tcPr>
          <w:p>
            <w:r>
              <w:rPr>
                <w:rFonts w:ascii="Times New Roman" w:hAnsi="Times New Roman"/>
                <w:sz w:val="20"/>
              </w:rPr>
              <w:t>14.01.2026, 00:00</w:t>
            </w:r>
          </w:p>
        </w:tc>
        <w:tc>
          <w:tcPr>
            <w:tcW w:type="dxa" w:w="3024"/>
          </w:tcPr>
          <w:p>
            <w:r>
              <w:rPr>
                <w:rFonts w:ascii="Times New Roman" w:hAnsi="Times New Roman"/>
                <w:sz w:val="20"/>
              </w:rPr>
              <w:t>Fahrzeugstopp Raststätte A6, Bourg-en-Bresse Ost</w:t>
            </w:r>
          </w:p>
        </w:tc>
        <w:tc>
          <w:tcPr>
            <w:tcW w:type="dxa" w:w="3024"/>
          </w:tcPr>
          <w:p>
            <w:r>
              <w:rPr>
                <w:rFonts w:ascii="Times New Roman" w:hAnsi="Times New Roman"/>
                <w:sz w:val="20"/>
              </w:rPr>
              <w:t>Ruhezeit des Fahrers</w:t>
            </w:r>
          </w:p>
        </w:tc>
      </w:tr>
      <w:tr>
        <w:tc>
          <w:tcPr>
            <w:tcW w:type="dxa" w:w="3024"/>
          </w:tcPr>
          <w:p>
            <w:r>
              <w:rPr>
                <w:rFonts w:ascii="Times New Roman" w:hAnsi="Times New Roman"/>
                <w:sz w:val="20"/>
              </w:rPr>
              <w:t>14.01.2026, 03:18</w:t>
            </w:r>
          </w:p>
        </w:tc>
        <w:tc>
          <w:tcPr>
            <w:tcW w:type="dxa" w:w="3024"/>
          </w:tcPr>
          <w:p>
            <w:r>
              <w:rPr>
                <w:rFonts w:ascii="Times New Roman" w:hAnsi="Times New Roman"/>
                <w:sz w:val="20"/>
              </w:rPr>
              <w:t>Temperaturüberschreitung beginnt (+8,3°C)</w:t>
            </w:r>
          </w:p>
        </w:tc>
        <w:tc>
          <w:tcPr>
            <w:tcW w:type="dxa" w:w="3024"/>
          </w:tcPr>
          <w:p>
            <w:r>
              <w:rPr>
                <w:rFonts w:ascii="Times New Roman" w:hAnsi="Times New Roman"/>
                <w:sz w:val="20"/>
              </w:rPr>
              <w:t>Schadensereignis</w:t>
            </w:r>
          </w:p>
        </w:tc>
      </w:tr>
      <w:tr>
        <w:tc>
          <w:tcPr>
            <w:tcW w:type="dxa" w:w="3024"/>
          </w:tcPr>
          <w:p>
            <w:r>
              <w:rPr>
                <w:rFonts w:ascii="Times New Roman" w:hAnsi="Times New Roman"/>
                <w:sz w:val="20"/>
              </w:rPr>
              <w:t>14.01.2026, 03:41</w:t>
            </w:r>
          </w:p>
        </w:tc>
        <w:tc>
          <w:tcPr>
            <w:tcW w:type="dxa" w:w="3024"/>
          </w:tcPr>
          <w:p>
            <w:r>
              <w:rPr>
                <w:rFonts w:ascii="Times New Roman" w:hAnsi="Times New Roman"/>
                <w:sz w:val="20"/>
              </w:rPr>
              <w:t>Peak-Temperatur +14,3°C</w:t>
            </w:r>
          </w:p>
        </w:tc>
        <w:tc>
          <w:tcPr>
            <w:tcW w:type="dxa" w:w="3024"/>
          </w:tcPr>
          <w:p>
            <w:r>
              <w:rPr>
                <w:rFonts w:ascii="Times New Roman" w:hAnsi="Times New Roman"/>
                <w:sz w:val="20"/>
              </w:rPr>
              <w:t>Schadenshöhepunkt</w:t>
            </w:r>
          </w:p>
        </w:tc>
      </w:tr>
      <w:tr>
        <w:tc>
          <w:tcPr>
            <w:tcW w:type="dxa" w:w="3024"/>
          </w:tcPr>
          <w:p>
            <w:r>
              <w:rPr>
                <w:rFonts w:ascii="Times New Roman" w:hAnsi="Times New Roman"/>
                <w:sz w:val="20"/>
              </w:rPr>
              <w:t>14.01.2026, 03:54</w:t>
            </w:r>
          </w:p>
        </w:tc>
        <w:tc>
          <w:tcPr>
            <w:tcW w:type="dxa" w:w="3024"/>
          </w:tcPr>
          <w:p>
            <w:r>
              <w:rPr>
                <w:rFonts w:ascii="Times New Roman" w:hAnsi="Times New Roman"/>
                <w:sz w:val="20"/>
              </w:rPr>
              <w:t>Temperatur wieder im Normbereich</w:t>
            </w:r>
          </w:p>
        </w:tc>
        <w:tc>
          <w:tcPr>
            <w:tcW w:type="dxa" w:w="3024"/>
          </w:tcPr>
          <w:p>
            <w:r>
              <w:rPr>
                <w:rFonts w:ascii="Times New Roman" w:hAnsi="Times New Roman"/>
                <w:sz w:val="20"/>
              </w:rPr>
              <w:t>Ende Überschreitung (36 Min.)</w:t>
            </w:r>
          </w:p>
        </w:tc>
      </w:tr>
      <w:tr>
        <w:tc>
          <w:tcPr>
            <w:tcW w:type="dxa" w:w="3024"/>
          </w:tcPr>
          <w:p>
            <w:r>
              <w:rPr>
                <w:rFonts w:ascii="Times New Roman" w:hAnsi="Times New Roman"/>
                <w:sz w:val="20"/>
              </w:rPr>
              <w:t>14.01.2026, 08:22</w:t>
            </w:r>
          </w:p>
        </w:tc>
        <w:tc>
          <w:tcPr>
            <w:tcW w:type="dxa" w:w="3024"/>
          </w:tcPr>
          <w:p>
            <w:r>
              <w:rPr>
                <w:rFonts w:ascii="Times New Roman" w:hAnsi="Times New Roman"/>
                <w:sz w:val="20"/>
              </w:rPr>
              <w:t>Ankunft HCL Lyon</w:t>
            </w:r>
          </w:p>
        </w:tc>
        <w:tc>
          <w:tcPr>
            <w:tcW w:type="dxa" w:w="3024"/>
          </w:tcPr>
          <w:p>
            <w:r>
              <w:rPr>
                <w:rFonts w:ascii="Times New Roman" w:hAnsi="Times New Roman"/>
                <w:sz w:val="20"/>
              </w:rPr>
              <w:t>Warenannahme verweigert</w:t>
            </w:r>
          </w:p>
        </w:tc>
      </w:tr>
      <w:tr>
        <w:tc>
          <w:tcPr>
            <w:tcW w:type="dxa" w:w="3024"/>
          </w:tcPr>
          <w:p>
            <w:r>
              <w:rPr>
                <w:rFonts w:ascii="Times New Roman" w:hAnsi="Times New Roman"/>
                <w:sz w:val="20"/>
              </w:rPr>
              <w:t>15.01.2026</w:t>
            </w:r>
          </w:p>
        </w:tc>
        <w:tc>
          <w:tcPr>
            <w:tcW w:type="dxa" w:w="3024"/>
          </w:tcPr>
          <w:p>
            <w:r>
              <w:rPr>
                <w:rFonts w:ascii="Times New Roman" w:hAnsi="Times New Roman"/>
                <w:sz w:val="20"/>
              </w:rPr>
              <w:t>Erneuter Kontakt MediVita/Schwarmstedt — kein Ergebnis</w:t>
            </w:r>
          </w:p>
        </w:tc>
        <w:tc>
          <w:tcPr>
            <w:tcW w:type="dxa" w:w="3024"/>
          </w:tcPr>
          <w:p>
            <w:r>
              <w:rPr>
                <w:rFonts w:ascii="Times New Roman" w:hAnsi="Times New Roman"/>
                <w:sz w:val="20"/>
              </w:rPr>
              <w:t>—</w:t>
            </w:r>
          </w:p>
        </w:tc>
      </w:tr>
      <w:tr>
        <w:tc>
          <w:tcPr>
            <w:tcW w:type="dxa" w:w="3024"/>
          </w:tcPr>
          <w:p>
            <w:r>
              <w:rPr>
                <w:rFonts w:ascii="Times New Roman" w:hAnsi="Times New Roman"/>
                <w:sz w:val="20"/>
              </w:rPr>
              <w:t>17.01.2026</w:t>
            </w:r>
          </w:p>
        </w:tc>
        <w:tc>
          <w:tcPr>
            <w:tcW w:type="dxa" w:w="3024"/>
          </w:tcPr>
          <w:p>
            <w:r>
              <w:rPr>
                <w:rFonts w:ascii="Times New Roman" w:hAnsi="Times New Roman"/>
                <w:sz w:val="20"/>
              </w:rPr>
              <w:t>Erste QS-Ergebnisse MediVita: Freigabeverweigerung</w:t>
            </w:r>
          </w:p>
        </w:tc>
        <w:tc>
          <w:tcPr>
            <w:tcW w:type="dxa" w:w="3024"/>
          </w:tcPr>
          <w:p>
            <w:r>
              <w:rPr>
                <w:rFonts w:ascii="Times New Roman" w:hAnsi="Times New Roman"/>
                <w:sz w:val="20"/>
              </w:rPr>
              <w:t>"Kenntnis" des Schadens (Streitpunkt)</w:t>
            </w:r>
          </w:p>
        </w:tc>
      </w:tr>
      <w:tr>
        <w:tc>
          <w:tcPr>
            <w:tcW w:type="dxa" w:w="3024"/>
          </w:tcPr>
          <w:p>
            <w:r>
              <w:rPr>
                <w:rFonts w:ascii="Times New Roman" w:hAnsi="Times New Roman"/>
                <w:sz w:val="20"/>
              </w:rPr>
              <w:t>19.01.2026</w:t>
            </w:r>
          </w:p>
        </w:tc>
        <w:tc>
          <w:tcPr>
            <w:tcW w:type="dxa" w:w="3024"/>
          </w:tcPr>
          <w:p>
            <w:r>
              <w:rPr>
                <w:rFonts w:ascii="Times New Roman" w:hAnsi="Times New Roman"/>
                <w:sz w:val="20"/>
              </w:rPr>
              <w:t>Schadensmeldung Schwarmstedt an Helvetia-Makler</w:t>
            </w:r>
          </w:p>
        </w:tc>
        <w:tc>
          <w:tcPr>
            <w:tcW w:type="dxa" w:w="3024"/>
          </w:tcPr>
          <w:p>
            <w:r>
              <w:rPr>
                <w:rFonts w:ascii="Times New Roman" w:hAnsi="Times New Roman"/>
                <w:sz w:val="20"/>
              </w:rPr>
              <w:t>72h-Frist-Streitpunkt</w:t>
            </w:r>
          </w:p>
        </w:tc>
      </w:tr>
      <w:tr>
        <w:tc>
          <w:tcPr>
            <w:tcW w:type="dxa" w:w="3024"/>
          </w:tcPr>
          <w:p>
            <w:r>
              <w:rPr>
                <w:rFonts w:ascii="Times New Roman" w:hAnsi="Times New Roman"/>
                <w:sz w:val="20"/>
              </w:rPr>
              <w:t>20.01.2026</w:t>
            </w:r>
          </w:p>
        </w:tc>
        <w:tc>
          <w:tcPr>
            <w:tcW w:type="dxa" w:w="3024"/>
          </w:tcPr>
          <w:p>
            <w:r>
              <w:rPr>
                <w:rFonts w:ascii="Times New Roman" w:hAnsi="Times New Roman"/>
                <w:sz w:val="20"/>
              </w:rPr>
              <w:t>QS-Report MV-2026-001 final (95 Vials unbrauchbar)</w:t>
            </w:r>
          </w:p>
        </w:tc>
        <w:tc>
          <w:tcPr>
            <w:tcW w:type="dxa" w:w="3024"/>
          </w:tcPr>
          <w:p>
            <w:r>
              <w:rPr>
                <w:rFonts w:ascii="Times New Roman" w:hAnsi="Times New Roman"/>
                <w:sz w:val="20"/>
              </w:rPr>
              <w:t>Schadensermittlung MediVita</w:t>
            </w:r>
          </w:p>
        </w:tc>
      </w:tr>
      <w:tr>
        <w:tc>
          <w:tcPr>
            <w:tcW w:type="dxa" w:w="3024"/>
          </w:tcPr>
          <w:p>
            <w:r>
              <w:rPr>
                <w:rFonts w:ascii="Times New Roman" w:hAnsi="Times New Roman"/>
                <w:sz w:val="20"/>
              </w:rPr>
              <w:t>21.01.2026</w:t>
            </w:r>
          </w:p>
        </w:tc>
        <w:tc>
          <w:tcPr>
            <w:tcW w:type="dxa" w:w="3024"/>
          </w:tcPr>
          <w:p>
            <w:r>
              <w:rPr>
                <w:rFonts w:ascii="Times New Roman" w:hAnsi="Times New Roman"/>
                <w:sz w:val="20"/>
              </w:rPr>
              <w:t>Diebstahl iPad-Auflieger (Sibiu, Rumänien)</w:t>
            </w:r>
          </w:p>
        </w:tc>
        <w:tc>
          <w:tcPr>
            <w:tcW w:type="dxa" w:w="3024"/>
          </w:tcPr>
          <w:p>
            <w:r>
              <w:rPr>
                <w:rFonts w:ascii="Times New Roman" w:hAnsi="Times New Roman"/>
                <w:sz w:val="20"/>
              </w:rPr>
              <w:t>Separates Schadensereignis</w:t>
            </w:r>
          </w:p>
        </w:tc>
      </w:tr>
      <w:tr>
        <w:tc>
          <w:tcPr>
            <w:tcW w:type="dxa" w:w="3024"/>
          </w:tcPr>
          <w:p>
            <w:r>
              <w:rPr>
                <w:rFonts w:ascii="Times New Roman" w:hAnsi="Times New Roman"/>
                <w:sz w:val="20"/>
              </w:rPr>
              <w:t>22.01.2026</w:t>
            </w:r>
          </w:p>
        </w:tc>
        <w:tc>
          <w:tcPr>
            <w:tcW w:type="dxa" w:w="3024"/>
          </w:tcPr>
          <w:p>
            <w:r>
              <w:rPr>
                <w:rFonts w:ascii="Times New Roman" w:hAnsi="Times New Roman"/>
                <w:sz w:val="20"/>
              </w:rPr>
              <w:t>Diebstahl-Meldung an Allianz Marine</w:t>
            </w:r>
          </w:p>
        </w:tc>
        <w:tc>
          <w:tcPr>
            <w:tcW w:type="dxa" w:w="3024"/>
          </w:tcPr>
          <w:p>
            <w:r>
              <w:rPr>
                <w:rFonts w:ascii="Times New Roman" w:hAnsi="Times New Roman"/>
                <w:sz w:val="20"/>
              </w:rPr>
              <w:t>—</w:t>
            </w:r>
          </w:p>
        </w:tc>
      </w:tr>
      <w:tr>
        <w:tc>
          <w:tcPr>
            <w:tcW w:type="dxa" w:w="3024"/>
          </w:tcPr>
          <w:p>
            <w:r>
              <w:rPr>
                <w:rFonts w:ascii="Times New Roman" w:hAnsi="Times New Roman"/>
                <w:sz w:val="20"/>
              </w:rPr>
              <w:t>25.01.2026</w:t>
            </w:r>
          </w:p>
        </w:tc>
        <w:tc>
          <w:tcPr>
            <w:tcW w:type="dxa" w:w="3024"/>
          </w:tcPr>
          <w:p>
            <w:r>
              <w:rPr>
                <w:rFonts w:ascii="Times New Roman" w:hAnsi="Times New Roman"/>
                <w:sz w:val="20"/>
              </w:rPr>
              <w:t>Vernichtung 95 Vials durch MediVita SE</w:t>
            </w:r>
          </w:p>
        </w:tc>
        <w:tc>
          <w:tcPr>
            <w:tcW w:type="dxa" w:w="3024"/>
          </w:tcPr>
          <w:p>
            <w:r>
              <w:rPr>
                <w:rFonts w:ascii="Times New Roman" w:hAnsi="Times New Roman"/>
                <w:sz w:val="20"/>
              </w:rPr>
              <w:t>Ohne Rücksprache mit Schwarmstedt</w:t>
            </w:r>
          </w:p>
        </w:tc>
      </w:tr>
      <w:tr>
        <w:tc>
          <w:tcPr>
            <w:tcW w:type="dxa" w:w="3024"/>
          </w:tcPr>
          <w:p>
            <w:r>
              <w:rPr>
                <w:rFonts w:ascii="Times New Roman" w:hAnsi="Times New Roman"/>
                <w:sz w:val="20"/>
              </w:rPr>
              <w:t>12.02.2026</w:t>
            </w:r>
          </w:p>
        </w:tc>
        <w:tc>
          <w:tcPr>
            <w:tcW w:type="dxa" w:w="3024"/>
          </w:tcPr>
          <w:p>
            <w:r>
              <w:rPr>
                <w:rFonts w:ascii="Times New Roman" w:hAnsi="Times New Roman"/>
                <w:sz w:val="20"/>
              </w:rPr>
              <w:t>Deckungsablehnung Helvetia (SL-2026-00198)</w:t>
            </w:r>
          </w:p>
        </w:tc>
        <w:tc>
          <w:tcPr>
            <w:tcW w:type="dxa" w:w="3024"/>
          </w:tcPr>
          <w:p>
            <w:r>
              <w:rPr>
                <w:rFonts w:ascii="Times New Roman" w:hAnsi="Times New Roman"/>
                <w:sz w:val="20"/>
              </w:rPr>
              <w:t>72h-Frist-Begründung</w:t>
            </w:r>
          </w:p>
        </w:tc>
      </w:tr>
      <w:tr>
        <w:tc>
          <w:tcPr>
            <w:tcW w:type="dxa" w:w="3024"/>
          </w:tcPr>
          <w:p>
            <w:r>
              <w:rPr>
                <w:rFonts w:ascii="Times New Roman" w:hAnsi="Times New Roman"/>
                <w:sz w:val="20"/>
              </w:rPr>
              <w:t>28.02.2026</w:t>
            </w:r>
          </w:p>
        </w:tc>
        <w:tc>
          <w:tcPr>
            <w:tcW w:type="dxa" w:w="3024"/>
          </w:tcPr>
          <w:p>
            <w:r>
              <w:rPr>
                <w:rFonts w:ascii="Times New Roman" w:hAnsi="Times New Roman"/>
                <w:sz w:val="20"/>
              </w:rPr>
              <w:t>Deckungsablehnung Allianz Marine (AM-TC-2026-0099)</w:t>
            </w:r>
          </w:p>
        </w:tc>
        <w:tc>
          <w:tcPr>
            <w:tcW w:type="dxa" w:w="3024"/>
          </w:tcPr>
          <w:p>
            <w:r>
              <w:rPr>
                <w:rFonts w:ascii="Times New Roman" w:hAnsi="Times New Roman"/>
                <w:sz w:val="20"/>
              </w:rPr>
              <w:t>iPad-Diebstahl</w:t>
            </w:r>
          </w:p>
        </w:tc>
      </w:tr>
      <w:tr>
        <w:tc>
          <w:tcPr>
            <w:tcW w:type="dxa" w:w="3024"/>
          </w:tcPr>
          <w:p>
            <w:r>
              <w:rPr>
                <w:rFonts w:ascii="Times New Roman" w:hAnsi="Times New Roman"/>
                <w:sz w:val="20"/>
              </w:rPr>
              <w:t>01.03.2026</w:t>
            </w:r>
          </w:p>
        </w:tc>
        <w:tc>
          <w:tcPr>
            <w:tcW w:type="dxa" w:w="3024"/>
          </w:tcPr>
          <w:p>
            <w:r>
              <w:rPr>
                <w:rFonts w:ascii="Times New Roman" w:hAnsi="Times New Roman"/>
                <w:sz w:val="20"/>
              </w:rPr>
              <w:t>Einbeziehung Schwarmstedt als Beschuldigte, StA Hannover</w:t>
            </w:r>
          </w:p>
        </w:tc>
        <w:tc>
          <w:tcPr>
            <w:tcW w:type="dxa" w:w="3024"/>
          </w:tcPr>
          <w:p>
            <w:r>
              <w:rPr>
                <w:rFonts w:ascii="Times New Roman" w:hAnsi="Times New Roman"/>
                <w:sz w:val="20"/>
              </w:rPr>
              <w:t>Embargo-Ermittlung</w:t>
            </w:r>
          </w:p>
        </w:tc>
      </w:tr>
      <w:tr>
        <w:tc>
          <w:tcPr>
            <w:tcW w:type="dxa" w:w="3024"/>
          </w:tcPr>
          <w:p>
            <w:r>
              <w:rPr>
                <w:rFonts w:ascii="Times New Roman" w:hAnsi="Times New Roman"/>
                <w:sz w:val="20"/>
              </w:rPr>
              <w:t>02.03.2026</w:t>
            </w:r>
          </w:p>
        </w:tc>
        <w:tc>
          <w:tcPr>
            <w:tcW w:type="dxa" w:w="3024"/>
          </w:tcPr>
          <w:p>
            <w:r>
              <w:rPr>
                <w:rFonts w:ascii="Times New Roman" w:hAnsi="Times New Roman"/>
                <w:sz w:val="20"/>
              </w:rPr>
              <w:t>Klage MediVita SE beim LG Hannover (9 O 244/26)</w:t>
            </w:r>
          </w:p>
        </w:tc>
        <w:tc>
          <w:tcPr>
            <w:tcW w:type="dxa" w:w="3024"/>
          </w:tcPr>
          <w:p>
            <w:r>
              <w:rPr>
                <w:rFonts w:ascii="Times New Roman" w:hAnsi="Times New Roman"/>
                <w:sz w:val="20"/>
              </w:rPr>
              <w:t>Klagezustellung 12.03.2026</w:t>
            </w:r>
          </w:p>
        </w:tc>
      </w:tr>
      <w:tr>
        <w:tc>
          <w:tcPr>
            <w:tcW w:type="dxa" w:w="3024"/>
          </w:tcPr>
          <w:p>
            <w:r>
              <w:rPr>
                <w:rFonts w:ascii="Times New Roman" w:hAnsi="Times New Roman"/>
                <w:sz w:val="20"/>
              </w:rPr>
              <w:t>03.03.2026</w:t>
            </w:r>
          </w:p>
        </w:tc>
        <w:tc>
          <w:tcPr>
            <w:tcW w:type="dxa" w:w="3024"/>
          </w:tcPr>
          <w:p>
            <w:r>
              <w:rPr>
                <w:rFonts w:ascii="Times New Roman" w:hAnsi="Times New Roman"/>
                <w:sz w:val="20"/>
              </w:rPr>
              <w:t>BALM-Bußgeldbescheid BALM-BuG 2026-0443-ND</w:t>
            </w:r>
          </w:p>
        </w:tc>
        <w:tc>
          <w:tcPr>
            <w:tcW w:type="dxa" w:w="3024"/>
          </w:tcPr>
          <w:p>
            <w:r>
              <w:rPr>
                <w:rFonts w:ascii="Times New Roman" w:hAnsi="Times New Roman"/>
                <w:sz w:val="20"/>
              </w:rPr>
              <w:t>25.000 EUR Bußgeld</w:t>
            </w:r>
          </w:p>
        </w:tc>
      </w:tr>
      <w:tr>
        <w:tc>
          <w:tcPr>
            <w:tcW w:type="dxa" w:w="3024"/>
          </w:tcPr>
          <w:p>
            <w:r>
              <w:rPr>
                <w:rFonts w:ascii="Times New Roman" w:hAnsi="Times New Roman"/>
                <w:sz w:val="20"/>
              </w:rPr>
              <w:t>10.03.2026</w:t>
            </w:r>
          </w:p>
        </w:tc>
        <w:tc>
          <w:tcPr>
            <w:tcW w:type="dxa" w:w="3024"/>
          </w:tcPr>
          <w:p>
            <w:r>
              <w:rPr>
                <w:rFonts w:ascii="Times New Roman" w:hAnsi="Times New Roman"/>
                <w:sz w:val="20"/>
              </w:rPr>
              <w:t>Regressforderung Schwarmstedt an Boeschke (34.600 EUR)</w:t>
            </w:r>
          </w:p>
        </w:tc>
        <w:tc>
          <w:tcPr>
            <w:tcW w:type="dxa" w:w="3024"/>
          </w:tcPr>
          <w:p>
            <w:r>
              <w:rPr>
                <w:rFonts w:ascii="Times New Roman" w:hAnsi="Times New Roman"/>
                <w:sz w:val="20"/>
              </w:rPr>
              <w:t>Überlader-Regress</w:t>
            </w:r>
          </w:p>
        </w:tc>
      </w:tr>
      <w:tr>
        <w:tc>
          <w:tcPr>
            <w:tcW w:type="dxa" w:w="3024"/>
          </w:tcPr>
          <w:p>
            <w:r>
              <w:rPr>
                <w:rFonts w:ascii="Times New Roman" w:hAnsi="Times New Roman"/>
                <w:sz w:val="20"/>
              </w:rPr>
              <w:t>13.03.2026</w:t>
            </w:r>
          </w:p>
        </w:tc>
        <w:tc>
          <w:tcPr>
            <w:tcW w:type="dxa" w:w="3024"/>
          </w:tcPr>
          <w:p>
            <w:r>
              <w:rPr>
                <w:rFonts w:ascii="Times New Roman" w:hAnsi="Times New Roman"/>
                <w:sz w:val="20"/>
              </w:rPr>
              <w:t>Einspruch AG Hannover OWi (31a OWi 4188 Js 7711/26)</w:t>
            </w:r>
          </w:p>
        </w:tc>
        <w:tc>
          <w:tcPr>
            <w:tcW w:type="dxa" w:w="3024"/>
          </w:tcPr>
          <w:p>
            <w:r>
              <w:rPr>
                <w:rFonts w:ascii="Times New Roman" w:hAnsi="Times New Roman"/>
                <w:sz w:val="20"/>
              </w:rPr>
              <w:t>—</w:t>
            </w:r>
          </w:p>
        </w:tc>
      </w:tr>
      <w:tr>
        <w:tc>
          <w:tcPr>
            <w:tcW w:type="dxa" w:w="3024"/>
          </w:tcPr>
          <w:p>
            <w:r>
              <w:rPr>
                <w:rFonts w:ascii="Times New Roman" w:hAnsi="Times New Roman"/>
                <w:sz w:val="20"/>
              </w:rPr>
              <w:t>14.03.2026</w:t>
            </w:r>
          </w:p>
        </w:tc>
        <w:tc>
          <w:tcPr>
            <w:tcW w:type="dxa" w:w="3024"/>
          </w:tcPr>
          <w:p>
            <w:r>
              <w:rPr>
                <w:rFonts w:ascii="Times New Roman" w:hAnsi="Times New Roman"/>
                <w:sz w:val="20"/>
              </w:rPr>
              <w:t>Mandatserteilung an RAin Dr. Hammerschmidt</w:t>
            </w:r>
          </w:p>
        </w:tc>
        <w:tc>
          <w:tcPr>
            <w:tcW w:type="dxa" w:w="3024"/>
          </w:tcPr>
          <w:p>
            <w:r>
              <w:rPr>
                <w:rFonts w:ascii="Times New Roman" w:hAnsi="Times New Roman"/>
                <w:sz w:val="20"/>
              </w:rPr>
              <w:t>Mandatsbeginn</w:t>
            </w:r>
          </w:p>
        </w:tc>
      </w:tr>
      <w:tr>
        <w:tc>
          <w:tcPr>
            <w:tcW w:type="dxa" w:w="3024"/>
          </w:tcPr>
          <w:p>
            <w:r>
              <w:rPr>
                <w:rFonts w:ascii="Times New Roman" w:hAnsi="Times New Roman"/>
                <w:sz w:val="20"/>
              </w:rPr>
              <w:t>15.03.2026</w:t>
            </w:r>
          </w:p>
        </w:tc>
        <w:tc>
          <w:tcPr>
            <w:tcW w:type="dxa" w:w="3024"/>
          </w:tcPr>
          <w:p>
            <w:r>
              <w:rPr>
                <w:rFonts w:ascii="Times New Roman" w:hAnsi="Times New Roman"/>
                <w:sz w:val="20"/>
              </w:rPr>
              <w:t>Klage Schwarmstedt gegen Helvetia (LG Hamburg 327 O 88/26)</w:t>
            </w:r>
          </w:p>
        </w:tc>
        <w:tc>
          <w:tcPr>
            <w:tcW w:type="dxa" w:w="3024"/>
          </w:tcPr>
          <w:p>
            <w:r>
              <w:rPr>
                <w:rFonts w:ascii="Times New Roman" w:hAnsi="Times New Roman"/>
                <w:sz w:val="20"/>
              </w:rPr>
              <w:t>—</w:t>
            </w:r>
          </w:p>
        </w:tc>
      </w:tr>
      <w:tr>
        <w:tc>
          <w:tcPr>
            <w:tcW w:type="dxa" w:w="3024"/>
          </w:tcPr>
          <w:p>
            <w:r>
              <w:rPr>
                <w:rFonts w:ascii="Times New Roman" w:hAnsi="Times New Roman"/>
                <w:sz w:val="20"/>
              </w:rPr>
              <w:t>20.03.2026</w:t>
            </w:r>
          </w:p>
        </w:tc>
        <w:tc>
          <w:tcPr>
            <w:tcW w:type="dxa" w:w="3024"/>
          </w:tcPr>
          <w:p>
            <w:r>
              <w:rPr>
                <w:rFonts w:ascii="Times New Roman" w:hAnsi="Times New Roman"/>
                <w:sz w:val="20"/>
              </w:rPr>
              <w:t>Beauftragung Sachverständiger Kretschmann</w:t>
            </w:r>
          </w:p>
        </w:tc>
        <w:tc>
          <w:tcPr>
            <w:tcW w:type="dxa" w:w="3024"/>
          </w:tcPr>
          <w:p>
            <w:r>
              <w:rPr>
                <w:rFonts w:ascii="Times New Roman" w:hAnsi="Times New Roman"/>
                <w:sz w:val="20"/>
              </w:rPr>
              <w:t>—</w:t>
            </w:r>
          </w:p>
        </w:tc>
      </w:tr>
      <w:tr>
        <w:tc>
          <w:tcPr>
            <w:tcW w:type="dxa" w:w="3024"/>
          </w:tcPr>
          <w:p>
            <w:r>
              <w:rPr>
                <w:rFonts w:ascii="Times New Roman" w:hAnsi="Times New Roman"/>
                <w:sz w:val="20"/>
              </w:rPr>
              <w:t>22.03.2026</w:t>
            </w:r>
          </w:p>
        </w:tc>
        <w:tc>
          <w:tcPr>
            <w:tcW w:type="dxa" w:w="3024"/>
          </w:tcPr>
          <w:p>
            <w:r>
              <w:rPr>
                <w:rFonts w:ascii="Times New Roman" w:hAnsi="Times New Roman"/>
                <w:sz w:val="20"/>
              </w:rPr>
              <w:t>Vorläufiges Gutachten Kretschmann</w:t>
            </w:r>
          </w:p>
        </w:tc>
        <w:tc>
          <w:tcPr>
            <w:tcW w:type="dxa" w:w="3024"/>
          </w:tcPr>
          <w:p>
            <w:r>
              <w:rPr>
                <w:rFonts w:ascii="Times New Roman" w:hAnsi="Times New Roman"/>
                <w:sz w:val="20"/>
              </w:rPr>
              <w:t>—</w:t>
            </w:r>
          </w:p>
        </w:tc>
      </w:tr>
      <w:tr>
        <w:tc>
          <w:tcPr>
            <w:tcW w:type="dxa" w:w="3024"/>
          </w:tcPr>
          <w:p>
            <w:r>
              <w:rPr>
                <w:rFonts w:ascii="Times New Roman" w:hAnsi="Times New Roman"/>
                <w:sz w:val="20"/>
              </w:rPr>
              <w:t>27.03.2026</w:t>
            </w:r>
          </w:p>
        </w:tc>
        <w:tc>
          <w:tcPr>
            <w:tcW w:type="dxa" w:w="3024"/>
          </w:tcPr>
          <w:p>
            <w:r>
              <w:rPr>
                <w:rFonts w:ascii="Times New Roman" w:hAnsi="Times New Roman"/>
                <w:sz w:val="20"/>
              </w:rPr>
              <w:t>Ablehnung Boeschke-Zahlungsforderung (RA Dr. Perlbach)</w:t>
            </w:r>
          </w:p>
        </w:tc>
        <w:tc>
          <w:tcPr>
            <w:tcW w:type="dxa" w:w="3024"/>
          </w:tcPr>
          <w:p>
            <w:r>
              <w:rPr>
                <w:rFonts w:ascii="Times New Roman" w:hAnsi="Times New Roman"/>
                <w:sz w:val="20"/>
              </w:rPr>
              <w:t>—</w:t>
            </w:r>
          </w:p>
        </w:tc>
      </w:tr>
      <w:tr>
        <w:tc>
          <w:tcPr>
            <w:tcW w:type="dxa" w:w="3024"/>
          </w:tcPr>
          <w:p>
            <w:r>
              <w:rPr>
                <w:rFonts w:ascii="Times New Roman" w:hAnsi="Times New Roman"/>
                <w:sz w:val="20"/>
              </w:rPr>
              <w:t>05.04.2026</w:t>
            </w:r>
          </w:p>
        </w:tc>
        <w:tc>
          <w:tcPr>
            <w:tcW w:type="dxa" w:w="3024"/>
          </w:tcPr>
          <w:p>
            <w:r>
              <w:rPr>
                <w:rFonts w:ascii="Times New Roman" w:hAnsi="Times New Roman"/>
                <w:sz w:val="20"/>
              </w:rPr>
              <w:t>Anmeldung als Verteidigerin StA Hannover</w:t>
            </w:r>
          </w:p>
        </w:tc>
        <w:tc>
          <w:tcPr>
            <w:tcW w:type="dxa" w:w="3024"/>
          </w:tcPr>
          <w:p>
            <w:r>
              <w:rPr>
                <w:rFonts w:ascii="Times New Roman" w:hAnsi="Times New Roman"/>
                <w:sz w:val="20"/>
              </w:rPr>
              <w:t>—</w:t>
            </w:r>
          </w:p>
        </w:tc>
      </w:tr>
      <w:tr>
        <w:tc>
          <w:tcPr>
            <w:tcW w:type="dxa" w:w="3024"/>
          </w:tcPr>
          <w:p>
            <w:r>
              <w:rPr>
                <w:rFonts w:ascii="Times New Roman" w:hAnsi="Times New Roman"/>
                <w:sz w:val="20"/>
              </w:rPr>
              <w:t>05.04.2026</w:t>
            </w:r>
          </w:p>
        </w:tc>
        <w:tc>
          <w:tcPr>
            <w:tcW w:type="dxa" w:w="3024"/>
          </w:tcPr>
          <w:p>
            <w:r>
              <w:rPr>
                <w:rFonts w:ascii="Times New Roman" w:hAnsi="Times New Roman"/>
                <w:sz w:val="20"/>
              </w:rPr>
              <w:t>Akteneinsichtsantrag StA Hannover</w:t>
            </w:r>
          </w:p>
        </w:tc>
        <w:tc>
          <w:tcPr>
            <w:tcW w:type="dxa" w:w="3024"/>
          </w:tcPr>
          <w:p>
            <w:r>
              <w:rPr>
                <w:rFonts w:ascii="Times New Roman" w:hAnsi="Times New Roman"/>
                <w:sz w:val="20"/>
              </w:rPr>
              <w:t>Ausstehend</w:t>
            </w:r>
          </w:p>
        </w:tc>
      </w:tr>
      <w:tr>
        <w:tc>
          <w:tcPr>
            <w:tcW w:type="dxa" w:w="3024"/>
          </w:tcPr>
          <w:p>
            <w:r>
              <w:rPr>
                <w:rFonts w:ascii="Times New Roman" w:hAnsi="Times New Roman"/>
                <w:sz w:val="20"/>
              </w:rPr>
              <w:t>28.04.2026</w:t>
            </w:r>
          </w:p>
        </w:tc>
        <w:tc>
          <w:tcPr>
            <w:tcW w:type="dxa" w:w="3024"/>
          </w:tcPr>
          <w:p>
            <w:r>
              <w:rPr>
                <w:rFonts w:ascii="Times New Roman" w:hAnsi="Times New Roman"/>
                <w:sz w:val="20"/>
              </w:rPr>
              <w:t>Mandantenbericht Kanzleistrategie</w:t>
            </w:r>
          </w:p>
        </w:tc>
        <w:tc>
          <w:tcPr>
            <w:tcW w:type="dxa" w:w="3024"/>
          </w:tcPr>
          <w:p>
            <w:r>
              <w:rPr>
                <w:rFonts w:ascii="Times New Roman" w:hAnsi="Times New Roman"/>
                <w:sz w:val="20"/>
              </w:rPr>
              <w:t>—</w:t>
            </w:r>
          </w:p>
        </w:tc>
      </w:tr>
      <w:tr>
        <w:tc>
          <w:tcPr>
            <w:tcW w:type="dxa" w:w="3024"/>
          </w:tcPr>
          <w:p>
            <w:r>
              <w:rPr>
                <w:rFonts w:ascii="Times New Roman" w:hAnsi="Times New Roman"/>
                <w:sz w:val="20"/>
              </w:rPr>
              <w:t>08.05.2026</w:t>
            </w:r>
          </w:p>
        </w:tc>
        <w:tc>
          <w:tcPr>
            <w:tcW w:type="dxa" w:w="3024"/>
          </w:tcPr>
          <w:p>
            <w:r>
              <w:rPr>
                <w:rFonts w:ascii="Times New Roman" w:hAnsi="Times New Roman"/>
                <w:sz w:val="20"/>
              </w:rPr>
              <w:t>Aktueller Stand (diese Akte)</w:t>
            </w:r>
          </w:p>
        </w:tc>
        <w:tc>
          <w:tcPr>
            <w:tcW w:type="dxa" w:w="3024"/>
          </w:tcPr>
          <w:p>
            <w:r>
              <w:rPr>
                <w:rFonts w:ascii="Times New Roman" w:hAnsi="Times New Roman"/>
                <w:sz w:val="20"/>
              </w:rPr>
              <w:t>—</w:t>
            </w:r>
          </w:p>
        </w:tc>
      </w:tr>
    </w:tbl>
    <w:p/>
    <w:p>
      <w:pPr>
        <w:pStyle w:val="Heading2"/>
      </w:pPr>
      <w:r>
        <w:rPr>
          <w:rFonts w:ascii="Times New Roman" w:hAnsi="Times New Roman"/>
        </w:rPr>
        <w:t>2. Fristenübersicht (Mai–Dezember 2026)</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Frist</w:t>
            </w:r>
          </w:p>
        </w:tc>
        <w:tc>
          <w:tcPr>
            <w:tcW w:type="dxa" w:w="3024"/>
          </w:tcPr>
          <w:p>
            <w:r>
              <w:rPr>
                <w:rFonts w:ascii="Times New Roman" w:hAnsi="Times New Roman"/>
                <w:b/>
                <w:sz w:val="20"/>
              </w:rPr>
              <w:t>Datum</w:t>
            </w:r>
          </w:p>
        </w:tc>
        <w:tc>
          <w:tcPr>
            <w:tcW w:type="dxa" w:w="3024"/>
          </w:tcPr>
          <w:p>
            <w:r>
              <w:rPr>
                <w:rFonts w:ascii="Times New Roman" w:hAnsi="Times New Roman"/>
                <w:b/>
                <w:sz w:val="20"/>
              </w:rPr>
              <w:t>Beschreibung</w:t>
            </w:r>
          </w:p>
        </w:tc>
      </w:tr>
      <w:tr>
        <w:tc>
          <w:tcPr>
            <w:tcW w:type="dxa" w:w="3024"/>
          </w:tcPr>
          <w:p>
            <w:r>
              <w:rPr>
                <w:rFonts w:ascii="Times New Roman" w:hAnsi="Times New Roman"/>
                <w:sz w:val="20"/>
              </w:rPr>
              <w:t>Klageerwiderung LG Hannover</w:t>
            </w:r>
          </w:p>
        </w:tc>
        <w:tc>
          <w:tcPr>
            <w:tcW w:type="dxa" w:w="3024"/>
          </w:tcPr>
          <w:p>
            <w:r>
              <w:rPr>
                <w:rFonts w:ascii="Times New Roman" w:hAnsi="Times New Roman"/>
                <w:b/>
                <w:sz w:val="20"/>
              </w:rPr>
              <w:t>15. Mai 2026</w:t>
            </w:r>
          </w:p>
        </w:tc>
        <w:tc>
          <w:tcPr>
            <w:tcW w:type="dxa" w:w="3024"/>
          </w:tcPr>
          <w:p>
            <w:r>
              <w:rPr>
                <w:rFonts w:ascii="Times New Roman" w:hAnsi="Times New Roman"/>
                <w:sz w:val="20"/>
              </w:rPr>
              <w:t>KRITISCHE FRIST — Vorbereitung abgeschlossen</w:t>
            </w:r>
          </w:p>
        </w:tc>
      </w:tr>
      <w:tr>
        <w:tc>
          <w:tcPr>
            <w:tcW w:type="dxa" w:w="3024"/>
          </w:tcPr>
          <w:p>
            <w:r>
              <w:rPr>
                <w:rFonts w:ascii="Times New Roman" w:hAnsi="Times New Roman"/>
                <w:sz w:val="20"/>
              </w:rPr>
              <w:t>Klagebegründung LG Hamburg</w:t>
            </w:r>
          </w:p>
        </w:tc>
        <w:tc>
          <w:tcPr>
            <w:tcW w:type="dxa" w:w="3024"/>
          </w:tcPr>
          <w:p>
            <w:r>
              <w:rPr>
                <w:rFonts w:ascii="Times New Roman" w:hAnsi="Times New Roman"/>
                <w:b/>
                <w:sz w:val="20"/>
              </w:rPr>
              <w:t>22. Mai 2026</w:t>
            </w:r>
          </w:p>
        </w:tc>
        <w:tc>
          <w:tcPr>
            <w:tcW w:type="dxa" w:w="3024"/>
          </w:tcPr>
          <w:p>
            <w:r>
              <w:rPr>
                <w:rFonts w:ascii="Times New Roman" w:hAnsi="Times New Roman"/>
                <w:sz w:val="20"/>
              </w:rPr>
              <w:t>Schriftsatz in Vorbereitung</w:t>
            </w:r>
          </w:p>
        </w:tc>
      </w:tr>
      <w:tr>
        <w:tc>
          <w:tcPr>
            <w:tcW w:type="dxa" w:w="3024"/>
          </w:tcPr>
          <w:p>
            <w:r>
              <w:rPr>
                <w:rFonts w:ascii="Times New Roman" w:hAnsi="Times New Roman"/>
                <w:sz w:val="20"/>
              </w:rPr>
              <w:t>Schriftliches Gutachten Kretschmann</w:t>
            </w:r>
          </w:p>
        </w:tc>
        <w:tc>
          <w:tcPr>
            <w:tcW w:type="dxa" w:w="3024"/>
          </w:tcPr>
          <w:p>
            <w:r>
              <w:rPr>
                <w:rFonts w:ascii="Times New Roman" w:hAnsi="Times New Roman"/>
                <w:sz w:val="20"/>
              </w:rPr>
              <w:t>30. April 2026 (bereits überfällig)</w:t>
            </w:r>
          </w:p>
        </w:tc>
        <w:tc>
          <w:tcPr>
            <w:tcW w:type="dxa" w:w="3024"/>
          </w:tcPr>
          <w:p>
            <w:r>
              <w:rPr>
                <w:rFonts w:ascii="Times New Roman" w:hAnsi="Times New Roman"/>
                <w:sz w:val="20"/>
              </w:rPr>
              <w:t>Erinnerung erforderlich</w:t>
            </w:r>
          </w:p>
        </w:tc>
      </w:tr>
      <w:tr>
        <w:tc>
          <w:tcPr>
            <w:tcW w:type="dxa" w:w="3024"/>
          </w:tcPr>
          <w:p>
            <w:r>
              <w:rPr>
                <w:rFonts w:ascii="Times New Roman" w:hAnsi="Times New Roman"/>
                <w:sz w:val="20"/>
              </w:rPr>
              <w:t>OWi-Verhandlung AG Hannover</w:t>
            </w:r>
          </w:p>
        </w:tc>
        <w:tc>
          <w:tcPr>
            <w:tcW w:type="dxa" w:w="3024"/>
          </w:tcPr>
          <w:p>
            <w:r>
              <w:rPr>
                <w:rFonts w:ascii="Times New Roman" w:hAnsi="Times New Roman"/>
                <w:sz w:val="20"/>
              </w:rPr>
              <w:t xml:space="preserve">voraussichtlich </w:t>
            </w:r>
            <w:r>
              <w:rPr>
                <w:rFonts w:ascii="Times New Roman" w:hAnsi="Times New Roman"/>
                <w:b/>
                <w:sz w:val="20"/>
              </w:rPr>
              <w:t>Juni 2026</w:t>
            </w:r>
          </w:p>
        </w:tc>
        <w:tc>
          <w:tcPr>
            <w:tcW w:type="dxa" w:w="3024"/>
          </w:tcPr>
          <w:p>
            <w:r>
              <w:rPr>
                <w:rFonts w:ascii="Times New Roman" w:hAnsi="Times New Roman"/>
                <w:sz w:val="20"/>
              </w:rPr>
              <w:t>Termin noch nicht bestimmt</w:t>
            </w:r>
          </w:p>
        </w:tc>
      </w:tr>
      <w:tr>
        <w:tc>
          <w:tcPr>
            <w:tcW w:type="dxa" w:w="3024"/>
          </w:tcPr>
          <w:p>
            <w:r>
              <w:rPr>
                <w:rFonts w:ascii="Times New Roman" w:hAnsi="Times New Roman"/>
                <w:sz w:val="20"/>
              </w:rPr>
              <w:t>Carrier eTrack-Daten</w:t>
            </w:r>
          </w:p>
        </w:tc>
        <w:tc>
          <w:tcPr>
            <w:tcW w:type="dxa" w:w="3024"/>
          </w:tcPr>
          <w:p>
            <w:r>
              <w:rPr>
                <w:rFonts w:ascii="Times New Roman" w:hAnsi="Times New Roman"/>
                <w:b/>
                <w:sz w:val="20"/>
              </w:rPr>
              <w:t>20. Mai 2026</w:t>
            </w:r>
          </w:p>
        </w:tc>
        <w:tc>
          <w:tcPr>
            <w:tcW w:type="dxa" w:w="3024"/>
          </w:tcPr>
          <w:p>
            <w:r>
              <w:rPr>
                <w:rFonts w:ascii="Times New Roman" w:hAnsi="Times New Roman"/>
                <w:sz w:val="20"/>
              </w:rPr>
              <w:t>Petrescu-Frist (letzte Mahnung)</w:t>
            </w:r>
          </w:p>
        </w:tc>
      </w:tr>
      <w:tr>
        <w:tc>
          <w:tcPr>
            <w:tcW w:type="dxa" w:w="3024"/>
          </w:tcPr>
          <w:p>
            <w:r>
              <w:rPr>
                <w:rFonts w:ascii="Times New Roman" w:hAnsi="Times New Roman"/>
                <w:sz w:val="20"/>
              </w:rPr>
              <w:t>Außergerichtliche Einigung Boeschke</w:t>
            </w:r>
          </w:p>
        </w:tc>
        <w:tc>
          <w:tcPr>
            <w:tcW w:type="dxa" w:w="3024"/>
          </w:tcPr>
          <w:p>
            <w:r>
              <w:rPr>
                <w:rFonts w:ascii="Times New Roman" w:hAnsi="Times New Roman"/>
                <w:sz w:val="20"/>
              </w:rPr>
              <w:t>30. Mai 2026</w:t>
            </w:r>
          </w:p>
        </w:tc>
        <w:tc>
          <w:tcPr>
            <w:tcW w:type="dxa" w:w="3024"/>
          </w:tcPr>
          <w:p>
            <w:r>
              <w:rPr>
                <w:rFonts w:ascii="Times New Roman" w:hAnsi="Times New Roman"/>
                <w:sz w:val="20"/>
              </w:rPr>
              <w:t>Falls keine Einigung: Klage LG Hamburg</w:t>
            </w:r>
          </w:p>
        </w:tc>
      </w:tr>
      <w:tr>
        <w:tc>
          <w:tcPr>
            <w:tcW w:type="dxa" w:w="3024"/>
          </w:tcPr>
          <w:p>
            <w:r>
              <w:rPr>
                <w:rFonts w:ascii="Times New Roman" w:hAnsi="Times New Roman"/>
                <w:sz w:val="20"/>
              </w:rPr>
              <w:t>Akteneinsicht StA Hannover</w:t>
            </w:r>
          </w:p>
        </w:tc>
        <w:tc>
          <w:tcPr>
            <w:tcW w:type="dxa" w:w="3024"/>
          </w:tcPr>
          <w:p>
            <w:r>
              <w:rPr>
                <w:rFonts w:ascii="Times New Roman" w:hAnsi="Times New Roman"/>
                <w:sz w:val="20"/>
              </w:rPr>
              <w:t xml:space="preserve">voraussichtlich </w:t>
            </w:r>
            <w:r>
              <w:rPr>
                <w:rFonts w:ascii="Times New Roman" w:hAnsi="Times New Roman"/>
                <w:b/>
                <w:sz w:val="20"/>
              </w:rPr>
              <w:t>Juni 2026</w:t>
            </w:r>
          </w:p>
        </w:tc>
        <w:tc>
          <w:tcPr>
            <w:tcW w:type="dxa" w:w="3024"/>
          </w:tcPr>
          <w:p>
            <w:r>
              <w:rPr>
                <w:rFonts w:ascii="Times New Roman" w:hAnsi="Times New Roman"/>
                <w:sz w:val="20"/>
              </w:rPr>
              <w:t>Nach Freigabe durch Staatsanwaltschaft</w:t>
            </w:r>
          </w:p>
        </w:tc>
      </w:tr>
      <w:tr>
        <w:tc>
          <w:tcPr>
            <w:tcW w:type="dxa" w:w="3024"/>
          </w:tcPr>
          <w:p>
            <w:r>
              <w:rPr>
                <w:rFonts w:ascii="Times New Roman" w:hAnsi="Times New Roman"/>
                <w:sz w:val="20"/>
              </w:rPr>
              <w:t>Erste Verhandlung LG Hannover</w:t>
            </w:r>
          </w:p>
        </w:tc>
        <w:tc>
          <w:tcPr>
            <w:tcW w:type="dxa" w:w="3024"/>
          </w:tcPr>
          <w:p>
            <w:r>
              <w:rPr>
                <w:rFonts w:ascii="Times New Roman" w:hAnsi="Times New Roman"/>
                <w:sz w:val="20"/>
              </w:rPr>
              <w:t xml:space="preserve">voraussichtlich </w:t>
            </w:r>
            <w:r>
              <w:rPr>
                <w:rFonts w:ascii="Times New Roman" w:hAnsi="Times New Roman"/>
                <w:b/>
                <w:sz w:val="20"/>
              </w:rPr>
              <w:t>Oktober 2026</w:t>
            </w:r>
          </w:p>
        </w:tc>
        <w:tc>
          <w:tcPr>
            <w:tcW w:type="dxa" w:w="3024"/>
          </w:tcPr>
          <w:p>
            <w:r>
              <w:rPr>
                <w:rFonts w:ascii="Times New Roman" w:hAnsi="Times New Roman"/>
                <w:sz w:val="20"/>
              </w:rPr>
              <w:t>Gerichtsbestimmung ausstehend</w:t>
            </w:r>
          </w:p>
        </w:tc>
      </w:tr>
      <w:tr>
        <w:tc>
          <w:tcPr>
            <w:tcW w:type="dxa" w:w="3024"/>
          </w:tcPr>
          <w:p>
            <w:r>
              <w:rPr>
                <w:rFonts w:ascii="Times New Roman" w:hAnsi="Times New Roman"/>
                <w:sz w:val="20"/>
              </w:rPr>
              <w:t>Erste Verhandlung LG Hamburg</w:t>
            </w:r>
          </w:p>
        </w:tc>
        <w:tc>
          <w:tcPr>
            <w:tcW w:type="dxa" w:w="3024"/>
          </w:tcPr>
          <w:p>
            <w:r>
              <w:rPr>
                <w:rFonts w:ascii="Times New Roman" w:hAnsi="Times New Roman"/>
                <w:sz w:val="20"/>
              </w:rPr>
              <w:t xml:space="preserve">voraussichtlich </w:t>
            </w:r>
            <w:r>
              <w:rPr>
                <w:rFonts w:ascii="Times New Roman" w:hAnsi="Times New Roman"/>
                <w:b/>
                <w:sz w:val="20"/>
              </w:rPr>
              <w:t>November 2026</w:t>
            </w:r>
          </w:p>
        </w:tc>
        <w:tc>
          <w:tcPr>
            <w:tcW w:type="dxa" w:w="3024"/>
          </w:tcPr>
          <w:p>
            <w:r>
              <w:rPr>
                <w:rFonts w:ascii="Times New Roman" w:hAnsi="Times New Roman"/>
                <w:sz w:val="20"/>
              </w:rPr>
              <w:t>Gerichtsbestimmung ausstehend</w:t>
            </w:r>
          </w:p>
        </w:tc>
      </w:tr>
    </w:tbl>
    <w:p/>
    <w:p>
      <w:pPr>
        <w:pStyle w:val="Heading2"/>
      </w:pPr>
      <w:r>
        <w:rPr>
          <w:rFonts w:ascii="Times New Roman" w:hAnsi="Times New Roman"/>
        </w:rPr>
        <w:t>3. Verfahrensübergreifende Risiko-Matrix</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Verfahren</w:t>
            </w:r>
          </w:p>
        </w:tc>
        <w:tc>
          <w:tcPr>
            <w:tcW w:type="dxa" w:w="1814"/>
          </w:tcPr>
          <w:p>
            <w:r>
              <w:rPr>
                <w:rFonts w:ascii="Times New Roman" w:hAnsi="Times New Roman"/>
                <w:b/>
                <w:sz w:val="20"/>
              </w:rPr>
              <w:t>Finanzielles Risiko</w:t>
            </w:r>
          </w:p>
        </w:tc>
        <w:tc>
          <w:tcPr>
            <w:tcW w:type="dxa" w:w="1814"/>
          </w:tcPr>
          <w:p>
            <w:r>
              <w:rPr>
                <w:rFonts w:ascii="Times New Roman" w:hAnsi="Times New Roman"/>
                <w:b/>
                <w:sz w:val="20"/>
              </w:rPr>
              <w:t>Reputationsrisiko</w:t>
            </w:r>
          </w:p>
        </w:tc>
        <w:tc>
          <w:tcPr>
            <w:tcW w:type="dxa" w:w="1814"/>
          </w:tcPr>
          <w:p>
            <w:r>
              <w:rPr>
                <w:rFonts w:ascii="Times New Roman" w:hAnsi="Times New Roman"/>
                <w:b/>
                <w:sz w:val="20"/>
              </w:rPr>
              <w:t>Strafbarkeitsrisiko</w:t>
            </w:r>
          </w:p>
        </w:tc>
        <w:tc>
          <w:tcPr>
            <w:tcW w:type="dxa" w:w="1814"/>
          </w:tcPr>
          <w:p>
            <w:r>
              <w:rPr>
                <w:rFonts w:ascii="Times New Roman" w:hAnsi="Times New Roman"/>
                <w:b/>
                <w:sz w:val="20"/>
              </w:rPr>
              <w:t>Wahrscheinlichkeit ungünstiges Szenario</w:t>
            </w:r>
          </w:p>
        </w:tc>
      </w:tr>
      <w:tr>
        <w:tc>
          <w:tcPr>
            <w:tcW w:type="dxa" w:w="1814"/>
          </w:tcPr>
          <w:p>
            <w:r>
              <w:rPr>
                <w:rFonts w:ascii="Times New Roman" w:hAnsi="Times New Roman"/>
                <w:sz w:val="20"/>
              </w:rPr>
              <w:t>LG Hannover 9 O 244/26</w:t>
            </w:r>
          </w:p>
        </w:tc>
        <w:tc>
          <w:tcPr>
            <w:tcW w:type="dxa" w:w="1814"/>
          </w:tcPr>
          <w:p>
            <w:r>
              <w:rPr>
                <w:rFonts w:ascii="Times New Roman" w:hAnsi="Times New Roman"/>
                <w:sz w:val="20"/>
              </w:rPr>
              <w:t>8,5 Mio. EUR</w:t>
            </w:r>
          </w:p>
        </w:tc>
        <w:tc>
          <w:tcPr>
            <w:tcW w:type="dxa" w:w="1814"/>
          </w:tcPr>
          <w:p>
            <w:r>
              <w:rPr>
                <w:rFonts w:ascii="Times New Roman" w:hAnsi="Times New Roman"/>
                <w:sz w:val="20"/>
              </w:rPr>
              <w:t>Mittel (B2B, nicht öffentlich)</w:t>
            </w:r>
          </w:p>
        </w:tc>
        <w:tc>
          <w:tcPr>
            <w:tcW w:type="dxa" w:w="1814"/>
          </w:tcPr>
          <w:p>
            <w:r>
              <w:rPr>
                <w:rFonts w:ascii="Times New Roman" w:hAnsi="Times New Roman"/>
                <w:sz w:val="20"/>
              </w:rPr>
              <w:t>Nein</w:t>
            </w:r>
          </w:p>
        </w:tc>
        <w:tc>
          <w:tcPr>
            <w:tcW w:type="dxa" w:w="1814"/>
          </w:tcPr>
          <w:p>
            <w:r>
              <w:rPr>
                <w:rFonts w:ascii="Times New Roman" w:hAnsi="Times New Roman"/>
                <w:sz w:val="20"/>
              </w:rPr>
              <w:t>15%</w:t>
            </w:r>
          </w:p>
        </w:tc>
      </w:tr>
      <w:tr>
        <w:tc>
          <w:tcPr>
            <w:tcW w:type="dxa" w:w="1814"/>
          </w:tcPr>
          <w:p>
            <w:r>
              <w:rPr>
                <w:rFonts w:ascii="Times New Roman" w:hAnsi="Times New Roman"/>
                <w:sz w:val="20"/>
              </w:rPr>
              <w:t>LG Hamburg 327 O 88/26</w:t>
            </w:r>
          </w:p>
        </w:tc>
        <w:tc>
          <w:tcPr>
            <w:tcW w:type="dxa" w:w="1814"/>
          </w:tcPr>
          <w:p>
            <w:r>
              <w:rPr>
                <w:rFonts w:ascii="Times New Roman" w:hAnsi="Times New Roman"/>
                <w:sz w:val="20"/>
              </w:rPr>
              <w:t>2,5 Mio. EUR</w:t>
            </w:r>
          </w:p>
        </w:tc>
        <w:tc>
          <w:tcPr>
            <w:tcW w:type="dxa" w:w="1814"/>
          </w:tcPr>
          <w:p>
            <w:r>
              <w:rPr>
                <w:rFonts w:ascii="Times New Roman" w:hAnsi="Times New Roman"/>
                <w:sz w:val="20"/>
              </w:rPr>
              <w:t>Gering</w:t>
            </w:r>
          </w:p>
        </w:tc>
        <w:tc>
          <w:tcPr>
            <w:tcW w:type="dxa" w:w="1814"/>
          </w:tcPr>
          <w:p>
            <w:r>
              <w:rPr>
                <w:rFonts w:ascii="Times New Roman" w:hAnsi="Times New Roman"/>
                <w:sz w:val="20"/>
              </w:rPr>
              <w:t>Nein</w:t>
            </w:r>
          </w:p>
        </w:tc>
        <w:tc>
          <w:tcPr>
            <w:tcW w:type="dxa" w:w="1814"/>
          </w:tcPr>
          <w:p>
            <w:r>
              <w:rPr>
                <w:rFonts w:ascii="Times New Roman" w:hAnsi="Times New Roman"/>
                <w:sz w:val="20"/>
              </w:rPr>
              <w:t>35%</w:t>
            </w:r>
          </w:p>
        </w:tc>
      </w:tr>
      <w:tr>
        <w:tc>
          <w:tcPr>
            <w:tcW w:type="dxa" w:w="1814"/>
          </w:tcPr>
          <w:p>
            <w:r>
              <w:rPr>
                <w:rFonts w:ascii="Times New Roman" w:hAnsi="Times New Roman"/>
                <w:sz w:val="20"/>
              </w:rPr>
              <w:t>AG Hannover OWi</w:t>
            </w:r>
          </w:p>
        </w:tc>
        <w:tc>
          <w:tcPr>
            <w:tcW w:type="dxa" w:w="1814"/>
          </w:tcPr>
          <w:p>
            <w:r>
              <w:rPr>
                <w:rFonts w:ascii="Times New Roman" w:hAnsi="Times New Roman"/>
                <w:sz w:val="20"/>
              </w:rPr>
              <w:t>25.000 EUR</w:t>
            </w:r>
          </w:p>
        </w:tc>
        <w:tc>
          <w:tcPr>
            <w:tcW w:type="dxa" w:w="1814"/>
          </w:tcPr>
          <w:p>
            <w:r>
              <w:rPr>
                <w:rFonts w:ascii="Times New Roman" w:hAnsi="Times New Roman"/>
                <w:sz w:val="20"/>
              </w:rPr>
              <w:t>Gering</w:t>
            </w:r>
          </w:p>
        </w:tc>
        <w:tc>
          <w:tcPr>
            <w:tcW w:type="dxa" w:w="1814"/>
          </w:tcPr>
          <w:p>
            <w:r>
              <w:rPr>
                <w:rFonts w:ascii="Times New Roman" w:hAnsi="Times New Roman"/>
                <w:sz w:val="20"/>
              </w:rPr>
              <w:t>Nein</w:t>
            </w:r>
          </w:p>
        </w:tc>
        <w:tc>
          <w:tcPr>
            <w:tcW w:type="dxa" w:w="1814"/>
          </w:tcPr>
          <w:p>
            <w:r>
              <w:rPr>
                <w:rFonts w:ascii="Times New Roman" w:hAnsi="Times New Roman"/>
                <w:sz w:val="20"/>
              </w:rPr>
              <w:t>25–30%</w:t>
            </w:r>
          </w:p>
        </w:tc>
      </w:tr>
      <w:tr>
        <w:tc>
          <w:tcPr>
            <w:tcW w:type="dxa" w:w="1814"/>
          </w:tcPr>
          <w:p>
            <w:r>
              <w:rPr>
                <w:rFonts w:ascii="Times New Roman" w:hAnsi="Times New Roman"/>
                <w:sz w:val="20"/>
              </w:rPr>
              <w:t>StA Hannover 9300 UJs</w:t>
            </w:r>
          </w:p>
        </w:tc>
        <w:tc>
          <w:tcPr>
            <w:tcW w:type="dxa" w:w="1814"/>
          </w:tcPr>
          <w:p>
            <w:r>
              <w:rPr>
                <w:rFonts w:ascii="Times New Roman" w:hAnsi="Times New Roman"/>
                <w:sz w:val="20"/>
              </w:rPr>
              <w:t>Bis 10 Mio. EUR (§ 30 OWiG)</w:t>
            </w:r>
          </w:p>
        </w:tc>
        <w:tc>
          <w:tcPr>
            <w:tcW w:type="dxa" w:w="1814"/>
          </w:tcPr>
          <w:p>
            <w:r>
              <w:rPr>
                <w:rFonts w:ascii="Times New Roman" w:hAnsi="Times New Roman"/>
                <w:sz w:val="20"/>
              </w:rPr>
              <w:t>Sehr hoch</w:t>
            </w:r>
          </w:p>
        </w:tc>
        <w:tc>
          <w:tcPr>
            <w:tcW w:type="dxa" w:w="1814"/>
          </w:tcPr>
          <w:p>
            <w:r>
              <w:rPr>
                <w:rFonts w:ascii="Times New Roman" w:hAnsi="Times New Roman"/>
                <w:sz w:val="20"/>
              </w:rPr>
              <w:t>Ja (Funkbruch)</w:t>
            </w:r>
          </w:p>
        </w:tc>
        <w:tc>
          <w:tcPr>
            <w:tcW w:type="dxa" w:w="1814"/>
          </w:tcPr>
          <w:p>
            <w:r>
              <w:rPr>
                <w:rFonts w:ascii="Times New Roman" w:hAnsi="Times New Roman"/>
                <w:sz w:val="20"/>
              </w:rPr>
              <w:t>20% (Fahrlässigkeit)</w:t>
            </w:r>
          </w:p>
        </w:tc>
      </w:tr>
      <w:tr>
        <w:tc>
          <w:tcPr>
            <w:tcW w:type="dxa" w:w="1814"/>
          </w:tcPr>
          <w:p>
            <w:r>
              <w:rPr>
                <w:rFonts w:ascii="Times New Roman" w:hAnsi="Times New Roman"/>
                <w:sz w:val="20"/>
              </w:rPr>
              <w:t>Allianz Marine</w:t>
            </w:r>
          </w:p>
        </w:tc>
        <w:tc>
          <w:tcPr>
            <w:tcW w:type="dxa" w:w="1814"/>
          </w:tcPr>
          <w:p>
            <w:r>
              <w:rPr>
                <w:rFonts w:ascii="Times New Roman" w:hAnsi="Times New Roman"/>
                <w:sz w:val="20"/>
              </w:rPr>
              <w:t>1,4 Mio. EUR</w:t>
            </w:r>
          </w:p>
        </w:tc>
        <w:tc>
          <w:tcPr>
            <w:tcW w:type="dxa" w:w="1814"/>
          </w:tcPr>
          <w:p>
            <w:r>
              <w:rPr>
                <w:rFonts w:ascii="Times New Roman" w:hAnsi="Times New Roman"/>
                <w:sz w:val="20"/>
              </w:rPr>
              <w:t>Gering</w:t>
            </w:r>
          </w:p>
        </w:tc>
        <w:tc>
          <w:tcPr>
            <w:tcW w:type="dxa" w:w="1814"/>
          </w:tcPr>
          <w:p>
            <w:r>
              <w:rPr>
                <w:rFonts w:ascii="Times New Roman" w:hAnsi="Times New Roman"/>
                <w:sz w:val="20"/>
              </w:rPr>
              <w:t>Nein</w:t>
            </w:r>
          </w:p>
        </w:tc>
        <w:tc>
          <w:tcPr>
            <w:tcW w:type="dxa" w:w="1814"/>
          </w:tcPr>
          <w:p>
            <w:r>
              <w:rPr>
                <w:rFonts w:ascii="Times New Roman" w:hAnsi="Times New Roman"/>
                <w:sz w:val="20"/>
              </w:rPr>
              <w:t>40%</w:t>
            </w:r>
          </w:p>
        </w:tc>
      </w:tr>
      <w:tr>
        <w:tc>
          <w:tcPr>
            <w:tcW w:type="dxa" w:w="1814"/>
          </w:tcPr>
          <w:p>
            <w:r>
              <w:rPr>
                <w:rFonts w:ascii="Times New Roman" w:hAnsi="Times New Roman"/>
                <w:sz w:val="20"/>
              </w:rPr>
              <w:t>Boeschke-Regress</w:t>
            </w:r>
          </w:p>
        </w:tc>
        <w:tc>
          <w:tcPr>
            <w:tcW w:type="dxa" w:w="1814"/>
          </w:tcPr>
          <w:p>
            <w:r>
              <w:rPr>
                <w:rFonts w:ascii="Times New Roman" w:hAnsi="Times New Roman"/>
                <w:sz w:val="20"/>
              </w:rPr>
              <w:t>+34.600 EUR (Einnahme)</w:t>
            </w:r>
          </w:p>
        </w:tc>
        <w:tc>
          <w:tcPr>
            <w:tcW w:type="dxa" w:w="1814"/>
          </w:tcPr>
          <w:p>
            <w:r>
              <w:rPr>
                <w:rFonts w:ascii="Times New Roman" w:hAnsi="Times New Roman"/>
                <w:sz w:val="20"/>
              </w:rPr>
              <w:t>—</w:t>
            </w:r>
          </w:p>
        </w:tc>
        <w:tc>
          <w:tcPr>
            <w:tcW w:type="dxa" w:w="1814"/>
          </w:tcPr>
          <w:p>
            <w:r>
              <w:rPr>
                <w:rFonts w:ascii="Times New Roman" w:hAnsi="Times New Roman"/>
                <w:sz w:val="20"/>
              </w:rPr>
              <w:t>Nein</w:t>
            </w:r>
          </w:p>
        </w:tc>
        <w:tc>
          <w:tcPr>
            <w:tcW w:type="dxa" w:w="1814"/>
          </w:tcPr>
          <w:p>
            <w:r>
              <w:rPr>
                <w:rFonts w:ascii="Times New Roman" w:hAnsi="Times New Roman"/>
                <w:sz w:val="20"/>
              </w:rPr>
              <w:t>Boeschke-Risiko: 30%</w:t>
            </w:r>
          </w:p>
        </w:tc>
      </w:tr>
    </w:tbl>
    <w:p>
      <w:pPr>
        <w:jc w:val="left"/>
      </w:pPr>
      <w:r>
        <w:rPr>
          <w:b/>
        </w:rPr>
        <w:t>Gesamtes Worst-Case-Risiko (kumuliert):</w:t>
      </w:r>
      <w:r>
        <w:t xml:space="preserve"> bis zu 22 Mio. EUR (theoretisch)</w:t>
      </w:r>
    </w:p>
    <w:p>
      <w:pPr>
        <w:jc w:val="left"/>
      </w:pPr>
      <w:r>
        <w:rPr>
          <w:b/>
        </w:rPr>
        <w:t>Realistisches Risiko (wahrscheinlichster Ausgang aller Verfahren):</w:t>
      </w:r>
      <w:r>
        <w:t xml:space="preserve"> 150.000–600.000 EUR + Kosten</w:t>
      </w:r>
    </w:p>
    <w:p/>
    <w:p>
      <w:pPr>
        <w:pStyle w:val="Heading2"/>
      </w:pPr>
      <w:r>
        <w:rPr>
          <w:rFonts w:ascii="Times New Roman" w:hAnsi="Times New Roman"/>
        </w:rPr>
        <w:t>4. Ausblick 2027</w:t>
      </w:r>
    </w:p>
    <w:p>
      <w:pPr>
        <w:jc w:val="left"/>
      </w:pPr>
      <w:r>
        <w:rPr>
          <w:b/>
        </w:rPr>
        <w:t>LG Hannover:</w:t>
      </w:r>
      <w:r>
        <w:t xml:space="preserve"> Urteil Q1/Q2 2027. Wenn Kretschmann-Gutachten überzeugt und Art. 23 CMR gilt: Klageabweisung. Falls Art. 29 CMR: Verurteilung (aber Helvetia-Klage als Puffer). Berufung OLG Celle möglich (Revision BGH I. ZS, I ZR, bei Grundsatzfragen).</w:t>
      </w:r>
    </w:p>
    <w:p>
      <w:pPr>
        <w:jc w:val="left"/>
      </w:pPr>
      <w:r>
        <w:rPr>
          <w:b/>
        </w:rPr>
        <w:t>BGH-Rechtsprechung:</w:t>
      </w:r>
      <w:r>
        <w:t xml:space="preserve"> Die Frage, ob das Nichtüberwachen des Laderaums während gesetzlich vorgeschriebener Ruhezeiten "leichtfertiges Handeln" i.S.v. Art. 29 CMR darstellt, ist bislang vom BGH nicht abschließend entschieden. Wenn das OLG Celle zu unseren Ungunsten entscheidet, wäre eine BGH-Revision mit grundsätzlicher Bedeutung (§ 543 Abs. 2 ZPO) eine realistische Option — zugleich aber auch ein Kostentreiber.</w:t>
      </w:r>
    </w:p>
    <w:p>
      <w:pPr>
        <w:jc w:val="left"/>
      </w:pPr>
      <w:r>
        <w:rPr>
          <w:b/>
        </w:rPr>
        <w:t>Strategischer Gesamtausblick:</w:t>
      </w:r>
      <w:r>
        <w:t xml:space="preserve"> Die nächsten sechs Monate sind entscheidend. Das Sachverständigengutachten Kretschmann und die Carrier eTrack-Daten werden bestimmen, ob das Unternehmen Schwarmstedt Logistik GmbH diese Krise mit einer Vergleichslösung im niedrigen sechsstelligen Bereich abschließen kann — oder ob ein langes, kostenintensives und finanziell existenzgefährdendes Verfahren droht.</w:t>
      </w:r>
    </w:p>
    <w:p/>
    <w:p>
      <w:pPr>
        <w:pStyle w:val="Heading2"/>
      </w:pPr>
      <w:r>
        <w:rPr>
          <w:rFonts w:ascii="Times New Roman" w:hAnsi="Times New Roman"/>
        </w:rPr>
        <w:t>5. Mandanteninfo — Wichtigste To-Dos für Herrn Funkbruch</w:t>
      </w:r>
    </w:p>
    <w:p>
      <w:pPr>
        <w:pStyle w:val="ListNumber"/>
      </w:pPr>
      <w:r>
        <w:rPr>
          <w:b/>
        </w:rPr>
        <w:t>Carrier eTrack-Protokoll:</w:t>
      </w:r>
      <w:r>
        <w:t xml:space="preserve"> Beauftragen Sie Petrescu Transport SRL oder direkt Carrier Transicold Deutschland GmbH, das interne Fehlerprotokoll des Kühlaggregats (Seriennr. CT-2024-5003121) auszulesen und bis 20. Mai 2026 zu übermitteln.</w:t>
      </w:r>
    </w:p>
    <w:p>
      <w:pPr>
        <w:pStyle w:val="ListNumber"/>
      </w:pPr>
      <w:r>
        <w:rPr>
          <w:b/>
        </w:rPr>
        <w:t>Keine Kommunikation mit StA Hannover</w:t>
      </w:r>
      <w:r>
        <w:t xml:space="preserve"> ohne Rücksprache mit der Kanzlei.</w:t>
      </w:r>
    </w:p>
    <w:p>
      <w:pPr>
        <w:pStyle w:val="ListNumber"/>
      </w:pPr>
      <w:r>
        <w:rPr>
          <w:b/>
        </w:rPr>
        <w:t>TruckMind-AVV abschließen:</w:t>
      </w:r>
      <w:r>
        <w:t xml:space="preserve"> Bis 30. Mai 2026 Auftragsverarbeitungsvertrag mit TruckMind Solutions GmbH unterzeichnen.</w:t>
      </w:r>
    </w:p>
    <w:p>
      <w:pPr>
        <w:pStyle w:val="ListNumber"/>
      </w:pPr>
      <w:r>
        <w:rPr>
          <w:b/>
        </w:rPr>
        <w:t>Sanktionslisten-Screening:</w:t>
      </w:r>
      <w:r>
        <w:t xml:space="preserve"> Beauftragen Sie Ihren IT-Dienstleister mit der Integration eines Sanktionslisten-Screening-Tools (Dow Jones, World-Check oder LexisNexis) bis 15. Juni 2026.</w:t>
      </w:r>
    </w:p>
    <w:p>
      <w:pPr>
        <w:pStyle w:val="ListNumber"/>
      </w:pPr>
      <w:r>
        <w:rPr>
          <w:b/>
        </w:rPr>
        <w:t>GDP-Subunternehmer-Protokoll:</w:t>
      </w:r>
      <w:r>
        <w:t xml:space="preserve"> Erstellen Sie für alle neuen Subunternehmer-Beauftragungen im Pharmasektor ein dokumentiertes Qualifizierungsprotokoll (Vorlage wird Kanzlei übermitteln).</w:t>
      </w:r>
    </w:p>
    <w:p>
      <w:pPr>
        <w:pStyle w:val="ListNumber"/>
      </w:pPr>
      <w:r>
        <w:rPr>
          <w:b/>
        </w:rPr>
        <w:t>Kretschmann-Gutachten schriftlich:</w:t>
      </w:r>
      <w:r>
        <w:t xml:space="preserve"> Nachfassen bei Prof. Kretschmann — schriftliches Gutachten war am 30. April 2026 fällig.</w:t>
      </w:r>
    </w:p>
    <w:p/>
    <w:p>
      <w:pPr>
        <w:jc w:val="left"/>
      </w:pPr>
      <w:r>
        <w:rPr>
          <w:i/>
        </w:rPr>
        <w:t>Stand dieser Akte: 08. Mai 2026. Alle Verfahren laufen. Keine abschließenden Entscheidungen.</w:t>
      </w:r>
    </w:p>
    <w:p>
      <w:pPr>
        <w:jc w:val="left"/>
      </w:pPr>
      <w:r>
        <w:rPr>
          <w:i/>
        </w:rPr>
        <w:t>Bearbeiterin: RAin Dr. Antonia Hammerschmidt, Hammerschmidt, Sommerfeldt &amp; Partner Rechtsanwälte, Hamburg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Schwarmstedt Logistik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Schwarmstedt Logistik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