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Kanzleinotiz — Erstgespräch mit Geschäftsführerin Theresia Wallbruck</w:t>
      </w:r>
    </w:p>
    <w:p>
      <w:pPr>
        <w:jc w:val="left"/>
      </w:pPr>
      <w:r>
        <w:rPr>
          <w:b/>
        </w:rPr>
        <w:t>Aktenstück:</w:t>
      </w:r>
      <w:r>
        <w:t xml:space="preserve"> 04</w:t>
      </w:r>
    </w:p>
    <w:p>
      <w:pPr>
        <w:jc w:val="left"/>
      </w:pPr>
      <w:r>
        <w:rPr>
          <w:b/>
        </w:rPr>
        <w:t>Datum:</w:t>
      </w:r>
      <w:r>
        <w:t xml:space="preserve"> 06.05.2026, 08:30 Uhr</w:t>
      </w:r>
    </w:p>
    <w:p>
      <w:pPr>
        <w:jc w:val="left"/>
      </w:pPr>
      <w:r>
        <w:rPr>
          <w:b/>
        </w:rPr>
        <w:t>Ort:</w:t>
      </w:r>
      <w:r>
        <w:t xml:space="preserve"> Kanzlei Drosten &amp; Pekonkur, Schillerstraße 14, 55116 Mainz, Besprechungsraum 1</w:t>
      </w:r>
    </w:p>
    <w:p>
      <w:pPr>
        <w:jc w:val="left"/>
      </w:pPr>
      <w:r>
        <w:rPr>
          <w:b/>
        </w:rPr>
        <w:t>Anwesende:</w:t>
      </w:r>
    </w:p>
    <w:p>
      <w:pPr>
        <w:pStyle w:val="ListBullet"/>
      </w:pPr>
      <w:r>
        <w:t>RA Lukas Drosten (Kanzlei Drosten &amp; Pekonkur)</w:t>
      </w:r>
    </w:p>
    <w:p>
      <w:pPr>
        <w:pStyle w:val="ListBullet"/>
      </w:pPr>
      <w:r>
        <w:t>Theresia Wallbruck (Geschäftsführerin Frischetrans Mittelrhein GmbH)</w:t>
      </w:r>
    </w:p>
    <w:p>
      <w:pPr>
        <w:pStyle w:val="ListBullet"/>
      </w:pPr>
      <w:r>
        <w:t>Franz Berkenfeld (IT-Leiter Frischetrans, telefonisch zugeschaltet ab 09:15 Uhr)</w:t>
      </w:r>
    </w:p>
    <w:p>
      <w:pPr>
        <w:jc w:val="left"/>
      </w:pPr>
      <w:r>
        <w:rPr>
          <w:b/>
        </w:rPr>
        <w:t>Vertraulich — Unterliegt anwaltlichem Berufsgeheimnis</w:t>
      </w:r>
    </w:p>
    <w:p/>
    <w:p>
      <w:pPr>
        <w:pStyle w:val="Heading2"/>
      </w:pPr>
      <w:r>
        <w:rPr>
          <w:rFonts w:ascii="Times New Roman" w:hAnsi="Times New Roman"/>
        </w:rPr>
        <w:t>1. Ausgangslage bei Gesprächsbeginn</w:t>
      </w:r>
    </w:p>
    <w:p>
      <w:pPr>
        <w:jc w:val="left"/>
      </w:pPr>
      <w:r>
        <w:t>Frau Wallbruck erschien sichtlich erschöpft und unter großem emotionalem Druck. Sie hatte seit 04:52 Uhr keine Schlafpause. Das Gespräch begann pünktlich um 08:30 Uhr.</w:t>
      </w:r>
    </w:p>
    <w:p>
      <w:pPr>
        <w:jc w:val="left"/>
      </w:pPr>
      <w:r>
        <w:t>Frau Wallbruck schilderte die Ereignisse aus ihrer Perspektive:</w:t>
      </w:r>
    </w:p>
    <w:p>
      <w:pPr>
        <w:ind w:left="567"/>
      </w:pPr>
      <w:r>
        <w:rPr>
          <w:i/>
        </w:rPr>
        <w:t>„Ich wurde um kurz vor 5 Uhr angerufen. Am Anfang dachte ich, es sei ein normaler IT-Ausfall. Dann hieß es Ransomware. Ich bin sofort gefahren. Als ich ankam, standen alle Monitore auf diesem Bedrohungstext. Und das ERP war weg."</w:t>
      </w:r>
    </w:p>
    <w:p>
      <w:pPr>
        <w:jc w:val="left"/>
      </w:pPr>
      <w:r>
        <w:t>Sie berichtete, dass bereits mehrere Kunden (allen voran Frischbäcker AG, Mannheim) angerufen und den Ausfall des Telematiksystems gemeldet hatten. Die Disponentin habe die Lage manuell notdürftig überbrückt.</w:t>
      </w:r>
    </w:p>
    <w:p/>
    <w:p>
      <w:pPr>
        <w:pStyle w:val="Heading2"/>
      </w:pPr>
      <w:r>
        <w:rPr>
          <w:rFonts w:ascii="Times New Roman" w:hAnsi="Times New Roman"/>
        </w:rPr>
        <w:t>2. Rechtliche Erstinformation durch RA Drosten</w:t>
      </w:r>
    </w:p>
    <w:p>
      <w:pPr>
        <w:jc w:val="left"/>
      </w:pPr>
      <w:r>
        <w:t>RA Drosten erläuterte folgende Kernpunkte:</w:t>
      </w:r>
    </w:p>
    <w:p>
      <w:pPr>
        <w:pStyle w:val="Heading3"/>
      </w:pPr>
      <w:r>
        <w:rPr>
          <w:rFonts w:ascii="Times New Roman" w:hAnsi="Times New Roman"/>
        </w:rPr>
        <w:t>2.1 Meldepflicht Art. 33 DSGVO</w:t>
      </w:r>
    </w:p>
    <w:p>
      <w:pPr>
        <w:jc w:val="left"/>
      </w:pPr>
      <w:r>
        <w:t>Aufgrund des bestätigten Datenabflusses (Kundenstammdaten, Mitarbeiterpersonalakten) besteht eine Meldepflicht gegenüber dem Landesbeauftragten für den Datenschutz Rheinland-Pfalz (LfDI RLP) innerhalb von 72 Stunden nach Kenntnisnahme der Datenpanne (Art. 33 Abs. 1 DSGVO). Die Frist läuft ab 04:17 Uhr am 06.05.2026 und endet am 09.05.2026 um 04:17 Uhr. Die Meldung sei innerhalb von 48 Stunden vorzubereiten und abzusenden.</w:t>
      </w:r>
    </w:p>
    <w:p>
      <w:pPr>
        <w:jc w:val="left"/>
      </w:pPr>
      <w:r>
        <w:t xml:space="preserve">Frau Wallbruck: </w:t>
      </w:r>
      <w:r>
        <w:rPr>
          <w:i/>
        </w:rPr>
        <w:t>„Können wir nicht noch warten, bis wir mehr wissen?"</w:t>
      </w:r>
    </w:p>
    <w:p>
      <w:pPr>
        <w:jc w:val="left"/>
      </w:pPr>
      <w:r>
        <w:t>RA Drosten erklärte, dass Art. 33 Abs. 1 DSGVO eine Meldung „ohne unangemessene Verzögerung" vorschreibt, wobei die Kenntnis der vollständigen Einzelheiten keine Voraussetzung für die Erstmeldung ist. Eine Nachtmeldung mit dem Hinweis auf unvollständige Erkenntnisse ist zulässig und behördenüblich.</w:t>
      </w:r>
    </w:p>
    <w:p>
      <w:pPr>
        <w:pStyle w:val="Heading3"/>
      </w:pPr>
      <w:r>
        <w:rPr>
          <w:rFonts w:ascii="Times New Roman" w:hAnsi="Times New Roman"/>
        </w:rPr>
        <w:t>2.2 BSI-Meldepflicht / NIS2</w:t>
      </w:r>
    </w:p>
    <w:p>
      <w:pPr>
        <w:jc w:val="left"/>
      </w:pPr>
      <w:r>
        <w:t>RA Drosten erläuterte, dass Frischetrans als Logistik-Unternehmen möglicherweise unter den Geltungsbereich der NIS2-Richtlinie (umgesetzt durch das NIS2-Umsetzungsgesetz, NIS2UmsuG) fällt. Frischelogistik für Bäckereiketten könnte als Teil der Kritischen Infrastruktur (Lebensmittelversorgung) einzustufen sein. Die BSI-Außenstelle Frankfurt war telefonisch vorinformiert worden.</w:t>
      </w:r>
    </w:p>
    <w:p>
      <w:pPr>
        <w:jc w:val="left"/>
      </w:pPr>
      <w:r>
        <w:t xml:space="preserve">Frau Wallbruck: </w:t>
      </w:r>
      <w:r>
        <w:rPr>
          <w:i/>
        </w:rPr>
        <w:t>„Wir sind doch nur ein mittelständischer Logistiker. Ich hätte nie gedacht, dass wir KRITIS sind."</w:t>
      </w:r>
    </w:p>
    <w:p>
      <w:pPr>
        <w:jc w:val="left"/>
      </w:pPr>
      <w:r>
        <w:t>RA Drosten erklärte, dass die Einschätzung von der Versorgungsrelevanz und den Schwellenwerten des BSI abhängt, die aktuell geprüft werden.</w:t>
      </w:r>
    </w:p>
    <w:p>
      <w:pPr>
        <w:pStyle w:val="Heading3"/>
      </w:pPr>
      <w:r>
        <w:rPr>
          <w:rFonts w:ascii="Times New Roman" w:hAnsi="Times New Roman"/>
        </w:rPr>
        <w:t>2.3 Empfehlung: Keine Lösegeldzahlung</w:t>
      </w:r>
    </w:p>
    <w:p>
      <w:pPr>
        <w:jc w:val="left"/>
      </w:pPr>
      <w:r>
        <w:t>RA Drosten empfahl ausdrücklich, das Lösegeld von 1.450.000 USD nicht zu zahlen (vgl. Begründung Aktenstück 03). Frau Wallbruck stimmte zu.</w:t>
      </w:r>
    </w:p>
    <w:p>
      <w:pPr>
        <w:pStyle w:val="Heading3"/>
      </w:pPr>
      <w:r>
        <w:rPr>
          <w:rFonts w:ascii="Times New Roman" w:hAnsi="Times New Roman"/>
        </w:rPr>
        <w:t>2.4 Versicherung</w:t>
      </w:r>
    </w:p>
    <w:p>
      <w:pPr>
        <w:jc w:val="left"/>
      </w:pPr>
      <w:r>
        <w:t>Frau Wallbruck bestätigte das Bestehen einer Cyber-Versicherung bei der CyberCovered AG (Frankfurt), Police-Nr. CC-2024-FTM-8801, Deckungssumme 5 Mio. EUR. RA Drosten wies darauf hin, dass die Police unverzüglich zu informieren sei (24-h-Klausel im Vertrag).</w:t>
      </w:r>
    </w:p>
    <w:p>
      <w:pPr>
        <w:jc w:val="left"/>
      </w:pPr>
      <w:r>
        <w:t xml:space="preserve">Frau Wallbruck: </w:t>
      </w:r>
      <w:r>
        <w:rPr>
          <w:i/>
        </w:rPr>
        <w:t>„Die Versicherungsmaklerin hatte ich gestern noch im Kopf und heute ist alles weg."</w:t>
      </w:r>
      <w:r>
        <w:t xml:space="preserve"> Sie übergab die Police-Unterlagen in Kopie.</w:t>
      </w:r>
    </w:p>
    <w:p>
      <w:pPr>
        <w:pStyle w:val="Heading3"/>
      </w:pPr>
      <w:r>
        <w:rPr>
          <w:rFonts w:ascii="Times New Roman" w:hAnsi="Times New Roman"/>
        </w:rPr>
        <w:t>2.5 Lieferanten und ERP-Anbieter</w:t>
      </w:r>
    </w:p>
    <w:p>
      <w:pPr>
        <w:jc w:val="left"/>
      </w:pPr>
      <w:r>
        <w:t>Frau Wallbruck berichtete, dass der ERP-Anbieter ProcessSpark Cloud AG (München) kurz zuvor einen Sicherheitshinweis zu CVE-2026-0712 herausgegeben hatte, den Patch aber erst in der Nacht zum 29.04.2026 eingespielt habe — obwohl er laut SLA bis 20.03.2026 hätte aufgespielt sein müssen.</w:t>
      </w:r>
    </w:p>
    <w:p>
      <w:pPr>
        <w:jc w:val="left"/>
      </w:pPr>
      <w:r>
        <w:t xml:space="preserve">RA Drosten: </w:t>
      </w:r>
      <w:r>
        <w:rPr>
          <w:i/>
        </w:rPr>
        <w:t>„Das ist erheblich. Das werden wir genau prüfen. Wenn ProcessSpark die Patchpflicht verletzt hat, haben Sie möglicherweise erhebliche Schadensersatzansprüche."</w:t>
      </w:r>
    </w:p>
    <w:p/>
    <w:p>
      <w:pPr>
        <w:pStyle w:val="Heading2"/>
      </w:pPr>
      <w:r>
        <w:rPr>
          <w:rFonts w:ascii="Times New Roman" w:hAnsi="Times New Roman"/>
        </w:rPr>
        <w:t>3. Handlungsplan (im Gespräch vereinbart)</w:t>
      </w:r>
    </w:p>
    <w:tbl>
      <w:tblPr>
        <w:tblStyle w:val="TableGrid"/>
        <w:tblW w:type="auto" w:w="0"/>
        <w:tblLook w:firstColumn="1" w:firstRow="1" w:lastColumn="0" w:lastRow="0" w:noHBand="0" w:noVBand="1" w:val="04A0"/>
      </w:tblPr>
      <w:tblGrid>
        <w:gridCol w:w="2268"/>
        <w:gridCol w:w="2268"/>
        <w:gridCol w:w="2268"/>
        <w:gridCol w:w="2268"/>
      </w:tblGrid>
      <w:tr>
        <w:tc>
          <w:tcPr>
            <w:tcW w:type="dxa" w:w="2268"/>
          </w:tcPr>
          <w:p>
            <w:r>
              <w:rPr>
                <w:rFonts w:ascii="Times New Roman" w:hAnsi="Times New Roman"/>
                <w:b/>
                <w:sz w:val="20"/>
              </w:rPr>
              <w:t>Nr.</w:t>
            </w:r>
          </w:p>
        </w:tc>
        <w:tc>
          <w:tcPr>
            <w:tcW w:type="dxa" w:w="2268"/>
          </w:tcPr>
          <w:p>
            <w:r>
              <w:rPr>
                <w:rFonts w:ascii="Times New Roman" w:hAnsi="Times New Roman"/>
                <w:b/>
                <w:sz w:val="20"/>
              </w:rPr>
              <w:t>Maßnahme</w:t>
            </w:r>
          </w:p>
        </w:tc>
        <w:tc>
          <w:tcPr>
            <w:tcW w:type="dxa" w:w="2268"/>
          </w:tcPr>
          <w:p>
            <w:r>
              <w:rPr>
                <w:rFonts w:ascii="Times New Roman" w:hAnsi="Times New Roman"/>
                <w:b/>
                <w:sz w:val="20"/>
              </w:rPr>
              <w:t>Zuständig</w:t>
            </w:r>
          </w:p>
        </w:tc>
        <w:tc>
          <w:tcPr>
            <w:tcW w:type="dxa" w:w="2268"/>
          </w:tcPr>
          <w:p>
            <w:r>
              <w:rPr>
                <w:rFonts w:ascii="Times New Roman" w:hAnsi="Times New Roman"/>
                <w:b/>
                <w:sz w:val="20"/>
              </w:rPr>
              <w:t>Frist</w:t>
            </w:r>
          </w:p>
        </w:tc>
      </w:tr>
      <w:tr>
        <w:tc>
          <w:tcPr>
            <w:tcW w:type="dxa" w:w="2268"/>
          </w:tcPr>
          <w:p>
            <w:r>
              <w:rPr>
                <w:rFonts w:ascii="Times New Roman" w:hAnsi="Times New Roman"/>
                <w:sz w:val="20"/>
              </w:rPr>
              <w:t>1</w:t>
            </w:r>
          </w:p>
        </w:tc>
        <w:tc>
          <w:tcPr>
            <w:tcW w:type="dxa" w:w="2268"/>
          </w:tcPr>
          <w:p>
            <w:r>
              <w:rPr>
                <w:rFonts w:ascii="Times New Roman" w:hAnsi="Times New Roman"/>
                <w:sz w:val="20"/>
              </w:rPr>
              <w:t>Mandatserteilung durch Frau Wallbruck (schriftlich)</w:t>
            </w:r>
          </w:p>
        </w:tc>
        <w:tc>
          <w:tcPr>
            <w:tcW w:type="dxa" w:w="2268"/>
          </w:tcPr>
          <w:p>
            <w:r>
              <w:rPr>
                <w:rFonts w:ascii="Times New Roman" w:hAnsi="Times New Roman"/>
                <w:sz w:val="20"/>
              </w:rPr>
              <w:t>Wallbruck</w:t>
            </w:r>
          </w:p>
        </w:tc>
        <w:tc>
          <w:tcPr>
            <w:tcW w:type="dxa" w:w="2268"/>
          </w:tcPr>
          <w:p>
            <w:r>
              <w:rPr>
                <w:rFonts w:ascii="Times New Roman" w:hAnsi="Times New Roman"/>
                <w:sz w:val="20"/>
              </w:rPr>
              <w:t>06.05.2026</w:t>
            </w:r>
          </w:p>
        </w:tc>
      </w:tr>
      <w:tr>
        <w:tc>
          <w:tcPr>
            <w:tcW w:type="dxa" w:w="2268"/>
          </w:tcPr>
          <w:p>
            <w:r>
              <w:rPr>
                <w:rFonts w:ascii="Times New Roman" w:hAnsi="Times New Roman"/>
                <w:sz w:val="20"/>
              </w:rPr>
              <w:t>2</w:t>
            </w:r>
          </w:p>
        </w:tc>
        <w:tc>
          <w:tcPr>
            <w:tcW w:type="dxa" w:w="2268"/>
          </w:tcPr>
          <w:p>
            <w:r>
              <w:rPr>
                <w:rFonts w:ascii="Times New Roman" w:hAnsi="Times New Roman"/>
                <w:sz w:val="20"/>
              </w:rPr>
              <w:t>Strafanzeige ZAC Mainz vorbereiten und erstatten</w:t>
            </w:r>
          </w:p>
        </w:tc>
        <w:tc>
          <w:tcPr>
            <w:tcW w:type="dxa" w:w="2268"/>
          </w:tcPr>
          <w:p>
            <w:r>
              <w:rPr>
                <w:rFonts w:ascii="Times New Roman" w:hAnsi="Times New Roman"/>
                <w:sz w:val="20"/>
              </w:rPr>
              <w:t>RA Drosten</w:t>
            </w:r>
          </w:p>
        </w:tc>
        <w:tc>
          <w:tcPr>
            <w:tcW w:type="dxa" w:w="2268"/>
          </w:tcPr>
          <w:p>
            <w:r>
              <w:rPr>
                <w:rFonts w:ascii="Times New Roman" w:hAnsi="Times New Roman"/>
                <w:sz w:val="20"/>
              </w:rPr>
              <w:t>07.05.2026</w:t>
            </w:r>
          </w:p>
        </w:tc>
      </w:tr>
      <w:tr>
        <w:tc>
          <w:tcPr>
            <w:tcW w:type="dxa" w:w="2268"/>
          </w:tcPr>
          <w:p>
            <w:r>
              <w:rPr>
                <w:rFonts w:ascii="Times New Roman" w:hAnsi="Times New Roman"/>
                <w:sz w:val="20"/>
              </w:rPr>
              <w:t>3</w:t>
            </w:r>
          </w:p>
        </w:tc>
        <w:tc>
          <w:tcPr>
            <w:tcW w:type="dxa" w:w="2268"/>
          </w:tcPr>
          <w:p>
            <w:r>
              <w:rPr>
                <w:rFonts w:ascii="Times New Roman" w:hAnsi="Times New Roman"/>
                <w:sz w:val="20"/>
              </w:rPr>
              <w:t>Versicherungsmeldung CyberCovered AG</w:t>
            </w:r>
          </w:p>
        </w:tc>
        <w:tc>
          <w:tcPr>
            <w:tcW w:type="dxa" w:w="2268"/>
          </w:tcPr>
          <w:p>
            <w:r>
              <w:rPr>
                <w:rFonts w:ascii="Times New Roman" w:hAnsi="Times New Roman"/>
                <w:sz w:val="20"/>
              </w:rPr>
              <w:t>RA Drosten + Wallbruck</w:t>
            </w:r>
          </w:p>
        </w:tc>
        <w:tc>
          <w:tcPr>
            <w:tcW w:type="dxa" w:w="2268"/>
          </w:tcPr>
          <w:p>
            <w:r>
              <w:rPr>
                <w:rFonts w:ascii="Times New Roman" w:hAnsi="Times New Roman"/>
                <w:sz w:val="20"/>
              </w:rPr>
              <w:t>07.05.2026</w:t>
            </w:r>
          </w:p>
        </w:tc>
      </w:tr>
      <w:tr>
        <w:tc>
          <w:tcPr>
            <w:tcW w:type="dxa" w:w="2268"/>
          </w:tcPr>
          <w:p>
            <w:r>
              <w:rPr>
                <w:rFonts w:ascii="Times New Roman" w:hAnsi="Times New Roman"/>
                <w:sz w:val="20"/>
              </w:rPr>
              <w:t>4</w:t>
            </w:r>
          </w:p>
        </w:tc>
        <w:tc>
          <w:tcPr>
            <w:tcW w:type="dxa" w:w="2268"/>
          </w:tcPr>
          <w:p>
            <w:r>
              <w:rPr>
                <w:rFonts w:ascii="Times New Roman" w:hAnsi="Times New Roman"/>
                <w:sz w:val="20"/>
              </w:rPr>
              <w:t>BSI-Meldung vorbereiten</w:t>
            </w:r>
          </w:p>
        </w:tc>
        <w:tc>
          <w:tcPr>
            <w:tcW w:type="dxa" w:w="2268"/>
          </w:tcPr>
          <w:p>
            <w:r>
              <w:rPr>
                <w:rFonts w:ascii="Times New Roman" w:hAnsi="Times New Roman"/>
                <w:sz w:val="20"/>
              </w:rPr>
              <w:t>RA Drosten</w:t>
            </w:r>
          </w:p>
        </w:tc>
        <w:tc>
          <w:tcPr>
            <w:tcW w:type="dxa" w:w="2268"/>
          </w:tcPr>
          <w:p>
            <w:r>
              <w:rPr>
                <w:rFonts w:ascii="Times New Roman" w:hAnsi="Times New Roman"/>
                <w:sz w:val="20"/>
              </w:rPr>
              <w:t>07.05.2026</w:t>
            </w:r>
          </w:p>
        </w:tc>
      </w:tr>
      <w:tr>
        <w:tc>
          <w:tcPr>
            <w:tcW w:type="dxa" w:w="2268"/>
          </w:tcPr>
          <w:p>
            <w:r>
              <w:rPr>
                <w:rFonts w:ascii="Times New Roman" w:hAnsi="Times New Roman"/>
                <w:sz w:val="20"/>
              </w:rPr>
              <w:t>5</w:t>
            </w:r>
          </w:p>
        </w:tc>
        <w:tc>
          <w:tcPr>
            <w:tcW w:type="dxa" w:w="2268"/>
          </w:tcPr>
          <w:p>
            <w:r>
              <w:rPr>
                <w:rFonts w:ascii="Times New Roman" w:hAnsi="Times New Roman"/>
                <w:sz w:val="20"/>
              </w:rPr>
              <w:t>Art.-33-DSGVO-Meldung LfDI RLP</w:t>
            </w:r>
          </w:p>
        </w:tc>
        <w:tc>
          <w:tcPr>
            <w:tcW w:type="dxa" w:w="2268"/>
          </w:tcPr>
          <w:p>
            <w:r>
              <w:rPr>
                <w:rFonts w:ascii="Times New Roman" w:hAnsi="Times New Roman"/>
                <w:sz w:val="20"/>
              </w:rPr>
              <w:t>RA Drosten</w:t>
            </w:r>
          </w:p>
        </w:tc>
        <w:tc>
          <w:tcPr>
            <w:tcW w:type="dxa" w:w="2268"/>
          </w:tcPr>
          <w:p>
            <w:r>
              <w:rPr>
                <w:rFonts w:ascii="Times New Roman" w:hAnsi="Times New Roman"/>
                <w:sz w:val="20"/>
              </w:rPr>
              <w:t>08.05.2026</w:t>
            </w:r>
          </w:p>
        </w:tc>
      </w:tr>
      <w:tr>
        <w:tc>
          <w:tcPr>
            <w:tcW w:type="dxa" w:w="2268"/>
          </w:tcPr>
          <w:p>
            <w:r>
              <w:rPr>
                <w:rFonts w:ascii="Times New Roman" w:hAnsi="Times New Roman"/>
                <w:sz w:val="20"/>
              </w:rPr>
              <w:t>6</w:t>
            </w:r>
          </w:p>
        </w:tc>
        <w:tc>
          <w:tcPr>
            <w:tcW w:type="dxa" w:w="2268"/>
          </w:tcPr>
          <w:p>
            <w:r>
              <w:rPr>
                <w:rFonts w:ascii="Times New Roman" w:hAnsi="Times New Roman"/>
                <w:sz w:val="20"/>
              </w:rPr>
              <w:t>Forensikfirma beauftragen</w:t>
            </w:r>
          </w:p>
        </w:tc>
        <w:tc>
          <w:tcPr>
            <w:tcW w:type="dxa" w:w="2268"/>
          </w:tcPr>
          <w:p>
            <w:r>
              <w:rPr>
                <w:rFonts w:ascii="Times New Roman" w:hAnsi="Times New Roman"/>
                <w:sz w:val="20"/>
              </w:rPr>
              <w:t>Wallbruck / Berkenfeld</w:t>
            </w:r>
          </w:p>
        </w:tc>
        <w:tc>
          <w:tcPr>
            <w:tcW w:type="dxa" w:w="2268"/>
          </w:tcPr>
          <w:p>
            <w:r>
              <w:rPr>
                <w:rFonts w:ascii="Times New Roman" w:hAnsi="Times New Roman"/>
                <w:sz w:val="20"/>
              </w:rPr>
              <w:t>06.05.2026</w:t>
            </w:r>
          </w:p>
        </w:tc>
      </w:tr>
      <w:tr>
        <w:tc>
          <w:tcPr>
            <w:tcW w:type="dxa" w:w="2268"/>
          </w:tcPr>
          <w:p>
            <w:r>
              <w:rPr>
                <w:rFonts w:ascii="Times New Roman" w:hAnsi="Times New Roman"/>
                <w:sz w:val="20"/>
              </w:rPr>
              <w:t>7</w:t>
            </w:r>
          </w:p>
        </w:tc>
        <w:tc>
          <w:tcPr>
            <w:tcW w:type="dxa" w:w="2268"/>
          </w:tcPr>
          <w:p>
            <w:r>
              <w:rPr>
                <w:rFonts w:ascii="Times New Roman" w:hAnsi="Times New Roman"/>
                <w:sz w:val="20"/>
              </w:rPr>
              <w:t>Vertragsanalyse ProcessSpark</w:t>
            </w:r>
          </w:p>
        </w:tc>
        <w:tc>
          <w:tcPr>
            <w:tcW w:type="dxa" w:w="2268"/>
          </w:tcPr>
          <w:p>
            <w:r>
              <w:rPr>
                <w:rFonts w:ascii="Times New Roman" w:hAnsi="Times New Roman"/>
                <w:sz w:val="20"/>
              </w:rPr>
              <w:t>RA Drosten</w:t>
            </w:r>
          </w:p>
        </w:tc>
        <w:tc>
          <w:tcPr>
            <w:tcW w:type="dxa" w:w="2268"/>
          </w:tcPr>
          <w:p>
            <w:r>
              <w:rPr>
                <w:rFonts w:ascii="Times New Roman" w:hAnsi="Times New Roman"/>
                <w:sz w:val="20"/>
              </w:rPr>
              <w:t>08.05.2026</w:t>
            </w:r>
          </w:p>
        </w:tc>
      </w:tr>
      <w:tr>
        <w:tc>
          <w:tcPr>
            <w:tcW w:type="dxa" w:w="2268"/>
          </w:tcPr>
          <w:p>
            <w:r>
              <w:rPr>
                <w:rFonts w:ascii="Times New Roman" w:hAnsi="Times New Roman"/>
                <w:sz w:val="20"/>
              </w:rPr>
              <w:t>8</w:t>
            </w:r>
          </w:p>
        </w:tc>
        <w:tc>
          <w:tcPr>
            <w:tcW w:type="dxa" w:w="2268"/>
          </w:tcPr>
          <w:p>
            <w:r>
              <w:rPr>
                <w:rFonts w:ascii="Times New Roman" w:hAnsi="Times New Roman"/>
                <w:sz w:val="20"/>
              </w:rPr>
              <w:t>Betriebsrat informieren</w:t>
            </w:r>
          </w:p>
        </w:tc>
        <w:tc>
          <w:tcPr>
            <w:tcW w:type="dxa" w:w="2268"/>
          </w:tcPr>
          <w:p>
            <w:r>
              <w:rPr>
                <w:rFonts w:ascii="Times New Roman" w:hAnsi="Times New Roman"/>
                <w:sz w:val="20"/>
              </w:rPr>
              <w:t>Wallbruck / HR</w:t>
            </w:r>
          </w:p>
        </w:tc>
        <w:tc>
          <w:tcPr>
            <w:tcW w:type="dxa" w:w="2268"/>
          </w:tcPr>
          <w:p>
            <w:r>
              <w:rPr>
                <w:rFonts w:ascii="Times New Roman" w:hAnsi="Times New Roman"/>
                <w:sz w:val="20"/>
              </w:rPr>
              <w:t>11.05.2026</w:t>
            </w:r>
          </w:p>
        </w:tc>
      </w:tr>
      <w:tr>
        <w:tc>
          <w:tcPr>
            <w:tcW w:type="dxa" w:w="2268"/>
          </w:tcPr>
          <w:p>
            <w:r>
              <w:rPr>
                <w:rFonts w:ascii="Times New Roman" w:hAnsi="Times New Roman"/>
                <w:sz w:val="20"/>
              </w:rPr>
              <w:t>9</w:t>
            </w:r>
          </w:p>
        </w:tc>
        <w:tc>
          <w:tcPr>
            <w:tcW w:type="dxa" w:w="2268"/>
          </w:tcPr>
          <w:p>
            <w:r>
              <w:rPr>
                <w:rFonts w:ascii="Times New Roman" w:hAnsi="Times New Roman"/>
                <w:sz w:val="20"/>
              </w:rPr>
              <w:t>Mitarbeiter BEM-Betroffene informieren</w:t>
            </w:r>
          </w:p>
        </w:tc>
        <w:tc>
          <w:tcPr>
            <w:tcW w:type="dxa" w:w="2268"/>
          </w:tcPr>
          <w:p>
            <w:r>
              <w:rPr>
                <w:rFonts w:ascii="Times New Roman" w:hAnsi="Times New Roman"/>
                <w:sz w:val="20"/>
              </w:rPr>
              <w:t>Wallbruck / HR</w:t>
            </w:r>
          </w:p>
        </w:tc>
        <w:tc>
          <w:tcPr>
            <w:tcW w:type="dxa" w:w="2268"/>
          </w:tcPr>
          <w:p>
            <w:r>
              <w:rPr>
                <w:rFonts w:ascii="Times New Roman" w:hAnsi="Times New Roman"/>
                <w:sz w:val="20"/>
              </w:rPr>
              <w:t>11.05.2026</w:t>
            </w:r>
          </w:p>
        </w:tc>
      </w:tr>
      <w:tr>
        <w:tc>
          <w:tcPr>
            <w:tcW w:type="dxa" w:w="2268"/>
          </w:tcPr>
          <w:p>
            <w:r>
              <w:rPr>
                <w:rFonts w:ascii="Times New Roman" w:hAnsi="Times New Roman"/>
                <w:sz w:val="20"/>
              </w:rPr>
              <w:t>10</w:t>
            </w:r>
          </w:p>
        </w:tc>
        <w:tc>
          <w:tcPr>
            <w:tcW w:type="dxa" w:w="2268"/>
          </w:tcPr>
          <w:p>
            <w:r>
              <w:rPr>
                <w:rFonts w:ascii="Times New Roman" w:hAnsi="Times New Roman"/>
                <w:sz w:val="20"/>
              </w:rPr>
              <w:t>Kundenkommunikation Frischbäcker AG, Backhaus Süd</w:t>
            </w:r>
          </w:p>
        </w:tc>
        <w:tc>
          <w:tcPr>
            <w:tcW w:type="dxa" w:w="2268"/>
          </w:tcPr>
          <w:p>
            <w:r>
              <w:rPr>
                <w:rFonts w:ascii="Times New Roman" w:hAnsi="Times New Roman"/>
                <w:sz w:val="20"/>
              </w:rPr>
              <w:t>RA Drosten + Wallbruck</w:t>
            </w:r>
          </w:p>
        </w:tc>
        <w:tc>
          <w:tcPr>
            <w:tcW w:type="dxa" w:w="2268"/>
          </w:tcPr>
          <w:p>
            <w:r>
              <w:rPr>
                <w:rFonts w:ascii="Times New Roman" w:hAnsi="Times New Roman"/>
                <w:sz w:val="20"/>
              </w:rPr>
              <w:t>12.05.2026</w:t>
            </w:r>
          </w:p>
        </w:tc>
      </w:tr>
    </w:tbl>
    <w:p/>
    <w:p>
      <w:pPr>
        <w:pStyle w:val="Heading2"/>
      </w:pPr>
      <w:r>
        <w:rPr>
          <w:rFonts w:ascii="Times New Roman" w:hAnsi="Times New Roman"/>
        </w:rPr>
        <w:t>4. Mandatserteilung</w:t>
      </w:r>
    </w:p>
    <w:p>
      <w:pPr>
        <w:jc w:val="left"/>
      </w:pPr>
      <w:r>
        <w:t>Theresia Wallbruck erteilte RA Lukas Drosten und der Kanzlei Drosten &amp; Pekonkur um 09:00 Uhr die schriftliche Vollmacht zur umfassenden Rechtsvertretung der Frischetrans Mittelrhein GmbH in der Angelegenheit des Cyber-Vorfalls vom 06.05.2026. Die Vollmacht ist aktenkundig (Anlage: Vollmacht_Wallbruck_Frischetrans_06052026.pdf — im Mandantenordner physisch hinterlegt).</w:t>
      </w:r>
    </w:p>
    <w:p/>
    <w:p>
      <w:pPr>
        <w:pStyle w:val="Heading2"/>
      </w:pPr>
      <w:r>
        <w:rPr>
          <w:rFonts w:ascii="Times New Roman" w:hAnsi="Times New Roman"/>
        </w:rPr>
        <w:t>5. Besonderheiten / Auffälligkeiten</w:t>
      </w:r>
    </w:p>
    <w:p>
      <w:pPr>
        <w:pStyle w:val="ListBullet"/>
      </w:pPr>
      <w:r>
        <w:t>Frau Wallbruck erwähnte, dass in den Tagen vor dem Angriff (01.–05.05.2026) ungewöhnlich viele Phishing-E-Mails im Unternehmen beobachtet worden seien. Dies wurde dem Forensikteam mitgeteilt (möglicher Zusammenhang mit dem Angriffsvektor).</w:t>
      </w:r>
    </w:p>
    <w:p>
      <w:pPr>
        <w:pStyle w:val="ListBullet"/>
      </w:pPr>
      <w:r>
        <w:t>IT-Leiter Berkenfeld (telefonisch) berichtete, dass die Firewall-Firmware seit Oktober 2025 nicht aktualisiert worden sei (Pflege durch InsoTec Systems). Dies wird im Rahmen der Gesamtverantwortlichkeitsanalyse zu prüfen sein.</w:t>
      </w:r>
    </w:p>
    <w:p>
      <w:pPr>
        <w:pStyle w:val="ListBullet"/>
      </w:pPr>
      <w:r>
        <w:t xml:space="preserve">Frau Wallbruck äußerte Sorge um die Belegschaft: </w:t>
      </w:r>
      <w:r>
        <w:rPr>
          <w:i/>
        </w:rPr>
        <w:t>„Die Leute wissen noch gar nicht, dass ihre Personalakten jetzt irgendwo im Internet landen könnten."</w:t>
      </w:r>
      <w:r>
        <w:t xml:space="preserve"> RA Drosten erläuterte die Notwendigkeit der Mitarbeiterinformation nach Art. 34 DSGVO.</w:t>
      </w:r>
    </w:p>
    <w:p/>
    <w:p>
      <w:pPr>
        <w:pStyle w:val="Heading2"/>
      </w:pPr>
      <w:r>
        <w:rPr>
          <w:rFonts w:ascii="Times New Roman" w:hAnsi="Times New Roman"/>
        </w:rPr>
        <w:t>6. Nächster Termin</w:t>
      </w:r>
    </w:p>
    <w:p>
      <w:pPr>
        <w:jc w:val="left"/>
      </w:pPr>
      <w:r>
        <w:t>Folgebesprechung telefonisch: 08.05.2026, 10:00 Uhr.</w:t>
      </w:r>
    </w:p>
    <w:p>
      <w:pPr>
        <w:jc w:val="left"/>
      </w:pPr>
      <w:r>
        <w:t>Persönliches Strategiegespräch: 13.05.2026, 14:00 Uhr, Kanzlei Drosten &amp; Pekonkur.</w:t>
      </w:r>
    </w:p>
    <w:p/>
    <w:p>
      <w:pPr>
        <w:jc w:val="left"/>
      </w:pPr>
      <w:r>
        <w:rPr>
          <w:i/>
        </w:rPr>
        <w:t>Notiz erstellt durch: RA Lukas Drosten</w:t>
      </w:r>
    </w:p>
    <w:p>
      <w:pPr>
        <w:jc w:val="left"/>
      </w:pPr>
      <w:r>
        <w:rPr>
          <w:i/>
        </w:rPr>
        <w:t>Datum der Erstellung: 06.05.2026, 10:30 Uhr</w:t>
      </w:r>
    </w:p>
    <w:p>
      <w:pPr>
        <w:jc w:val="left"/>
      </w:pPr>
      <w:r>
        <w:rPr>
          <w:i/>
        </w:rPr>
        <w:t>Geprüft: Drosten, 06.05.2026</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Geschäftsführerin Frischetrans Mittelrhein GmbH</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7B2D3B"/>
        <w:sz w:val="24"/>
      </w:rPr>
      <w:t>Geschäftsführerin Frischetrans Mittelrhein GmbH</w:t>
    </w:r>
  </w:p>
  <w:p>
    <w:pPr>
      <w:jc w:val="left"/>
      <w:pBdr>
        <w:bottom w:val="single" w:sz="6" w:space="2" w:color="7B2D3B"/>
      </w:pBdr>
    </w:pPr>
    <w:r>
      <w:rPr>
        <w:rFonts w:ascii="Times New Roman" w:hAnsi="Times New Roman"/>
        <w:color w:val="6B6B66"/>
        <w:sz w:val="16"/>
      </w:rPr>
      <w:t>Unternehmen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