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KI-Verordnung — Klassifizierung und Konformitätsbewertung „PalettenAuge AI"</w:t>
      </w:r>
    </w:p>
    <w:p>
      <w:pPr>
        <w:jc w:val="left"/>
      </w:pPr>
      <w:r>
        <w:rPr>
          <w:b/>
        </w:rPr>
        <w:t>Aktenstück:</w:t>
      </w:r>
      <w:r>
        <w:t xml:space="preserve"> 13</w:t>
      </w:r>
    </w:p>
    <w:p>
      <w:pPr>
        <w:jc w:val="left"/>
      </w:pPr>
      <w:r>
        <w:rPr>
          <w:b/>
        </w:rPr>
        <w:t>Datum:</w:t>
      </w:r>
      <w:r>
        <w:t xml:space="preserve"> 12.05.2026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Anbieter des KI-Systems:</w:t>
      </w:r>
      <w:r>
        <w:t xml:space="preserve"> DachAuge GmbH, Rosenthaler Str. 34, 10178 Berlin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 xml:space="preserve">Die Frischetrans Mittelrhein GmbH setzt das KI-System </w:t>
      </w:r>
      <w:r>
        <w:rPr>
          <w:b/>
        </w:rPr>
        <w:t>„PalettenAuge AI"</w:t>
      </w:r>
      <w:r>
        <w:t xml:space="preserve"> der DachAuge GmbH (Berlin) ein. Das System dient der </w:t>
      </w:r>
      <w:r>
        <w:rPr>
          <w:b/>
        </w:rPr>
        <w:t>vorausschauenden Routenoptimierung und Personaleinsatzplanung</w:t>
      </w:r>
      <w:r>
        <w:t xml:space="preserve"> für den Fuhrpark von 64 LKW.</w:t>
      </w:r>
    </w:p>
    <w:p>
      <w:pPr>
        <w:jc w:val="left"/>
      </w:pPr>
      <w:r>
        <w:t>Konkreter Einsatz:</w:t>
      </w:r>
    </w:p>
    <w:p>
      <w:pPr>
        <w:pStyle w:val="ListBullet"/>
      </w:pPr>
      <w:r>
        <w:t>Automatische Tourenplanung basierend auf KI-Prognosen (Auftragslage, Verkehr, Wetter, Fahrerleistungsdaten)</w:t>
      </w:r>
    </w:p>
    <w:p>
      <w:pPr>
        <w:pStyle w:val="ListBullet"/>
      </w:pPr>
      <w:r>
        <w:t>Personaleinsatzplanung: Das System schlägt vor, welcher Fahrer welche Tour übernimmt, unter Berücksichtigung von Fahrzeugtyp-Qualifikation, Lenk-/Ruhezeiten (EU-VO 561/2006), vergangenen Leistungsdaten und Gesundheitszustand (Krankheitstage aus SAP HR)</w:t>
      </w:r>
    </w:p>
    <w:p>
      <w:pPr>
        <w:pStyle w:val="ListBullet"/>
      </w:pPr>
      <w:r>
        <w:t>Auslastungsoptimierung und präventive Wartungsvorschläge</w:t>
      </w:r>
    </w:p>
    <w:p>
      <w:pPr>
        <w:jc w:val="left"/>
      </w:pPr>
      <w:r>
        <w:rPr>
          <w:b/>
        </w:rPr>
        <w:t>Frage:</w:t>
      </w:r>
      <w:r>
        <w:t xml:space="preserve"> Fällt „PalettenAuge AI" unter Anhang III der EU-KI-Verordnung (Verordnung (EU) 2024/1689) als Hochrisiko-KI-System?</w:t>
      </w:r>
    </w:p>
    <w:p/>
    <w:p>
      <w:pPr>
        <w:pStyle w:val="Heading2"/>
      </w:pPr>
      <w:r>
        <w:rPr>
          <w:rFonts w:ascii="Times New Roman" w:hAnsi="Times New Roman"/>
        </w:rPr>
        <w:t>2. Rechtlicher Rahmen — EU-KI-Verordnung</w:t>
      </w:r>
    </w:p>
    <w:p>
      <w:pPr>
        <w:jc w:val="left"/>
      </w:pPr>
      <w:r>
        <w:t>Die Verordnung (EU) 2024/1689 des Europäischen Parlaments und des Rates über künstliche Intelligenz (KI-VO) ist am 01.08.2024 in Kraft getreten. Für Hochrisiko-KI-Systeme gelten die Pflichten ab dem 02.08.2026 (Art. 113 Abs. 2 KI-VO — zwei Jahre nach Inkrafttreten).</w:t>
      </w:r>
    </w:p>
    <w:p>
      <w:pPr>
        <w:jc w:val="left"/>
      </w:pPr>
      <w:r>
        <w:rPr>
          <w:b/>
        </w:rPr>
        <w:t>Relevante Geltungszeitpunkte:</w:t>
      </w:r>
    </w:p>
    <w:p>
      <w:pPr>
        <w:pStyle w:val="ListBullet"/>
      </w:pPr>
      <w:r>
        <w:t>Allgemeines Inkrafttreten: 01.08.2024</w:t>
      </w:r>
    </w:p>
    <w:p>
      <w:pPr>
        <w:pStyle w:val="ListBullet"/>
      </w:pPr>
      <w:r>
        <w:t xml:space="preserve">Geltung Hochrisiko-Pflichten: 02.08.2026 ← </w:t>
      </w:r>
      <w:r>
        <w:rPr>
          <w:b/>
        </w:rPr>
        <w:t>6 Monate bis zur Geltung, Frischetrans muss jetzt handeln</w:t>
      </w:r>
    </w:p>
    <w:p/>
    <w:p>
      <w:pPr>
        <w:pStyle w:val="Heading2"/>
      </w:pPr>
      <w:r>
        <w:rPr>
          <w:rFonts w:ascii="Times New Roman" w:hAnsi="Times New Roman"/>
        </w:rPr>
        <w:t>3. Klassifizierungsprüfung nach Anhang III KI-VO</w:t>
      </w:r>
    </w:p>
    <w:p>
      <w:pPr>
        <w:pStyle w:val="Heading3"/>
      </w:pPr>
      <w:r>
        <w:rPr>
          <w:rFonts w:ascii="Times New Roman" w:hAnsi="Times New Roman"/>
        </w:rPr>
        <w:t>3.1 Screening aller Anhang-III-Kategorien</w:t>
      </w:r>
    </w:p>
    <w:p>
      <w:pPr>
        <w:jc w:val="left"/>
      </w:pPr>
      <w:r>
        <w:rPr>
          <w:b/>
        </w:rPr>
        <w:t>Nr. 1 — Biometrische Identifizierung:</w:t>
      </w:r>
      <w:r>
        <w:t xml:space="preserve"> Nicht anwendbar.</w:t>
      </w:r>
    </w:p>
    <w:p>
      <w:pPr>
        <w:jc w:val="left"/>
      </w:pPr>
      <w:r>
        <w:rPr>
          <w:b/>
        </w:rPr>
        <w:t>Nr. 2 — Kritische Infrastruktur:</w:t>
      </w:r>
      <w:r>
        <w:t xml:space="preserve"> Routenoptimierung für LKW-Logistik könnte als Komponente einer kritischen Versorgungsinfrastruktur gelten. Frischetrans ist als Lebensmittellogistiker für systemrelevante Bäckereien tätig. Eingeschränkte Relevanz — keine eindeutige Einschlägigkeit.</w:t>
      </w:r>
    </w:p>
    <w:p>
      <w:pPr>
        <w:jc w:val="left"/>
      </w:pPr>
      <w:r>
        <w:rPr>
          <w:b/>
        </w:rPr>
        <w:t>Nr. 3 — Allgemeine und berufliche Bildung:</w:t>
      </w:r>
      <w:r>
        <w:t xml:space="preserve"> Nicht anwendbar.</w:t>
      </w:r>
    </w:p>
    <w:p>
      <w:pPr>
        <w:jc w:val="left"/>
      </w:pPr>
      <w:r>
        <w:rPr>
          <w:b/>
        </w:rPr>
        <w:t>Nr. 4 — Beschäftigung, Personalmanagement und Zugang zur Selbstständigkeit:</w:t>
      </w:r>
    </w:p>
    <w:p>
      <w:pPr>
        <w:jc w:val="left"/>
      </w:pPr>
      <w:r>
        <w:t xml:space="preserve">☑ </w:t>
      </w:r>
      <w:r>
        <w:rPr>
          <w:b/>
        </w:rPr>
        <w:t>EINSCHLÄGIG</w:t>
      </w:r>
    </w:p>
    <w:p>
      <w:pPr>
        <w:jc w:val="left"/>
      </w:pPr>
      <w:r>
        <w:t xml:space="preserve">Art. 6 Abs. 2 i.V.m. Anhang III Nr. 4 lit. a) und b) KI-VO erfasst KI-Systeme, die bei der </w:t>
      </w:r>
      <w:r>
        <w:rPr>
          <w:b/>
        </w:rPr>
        <w:t>Einstellung oder Auswahl natürlicher Personen</w:t>
      </w:r>
      <w:r>
        <w:t xml:space="preserve"> oder für </w:t>
      </w:r>
      <w:r>
        <w:rPr>
          <w:b/>
        </w:rPr>
        <w:t>Entscheidungen über Arbeitsbedingungen, Beförderungen und Kündigungen</w:t>
      </w:r>
      <w:r>
        <w:t xml:space="preserve"> eingesetzt werden.</w:t>
      </w:r>
    </w:p>
    <w:p>
      <w:pPr>
        <w:jc w:val="left"/>
      </w:pPr>
      <w:r>
        <w:t>Das PalettenAuge-AI-System schlägt die Personaleinsatzplanung vor — also, welcher Fahrer welche Tour übernimmt. Dabei fließen leistungsbezogene Daten und Gesundheitsdaten (Krankheitstage) ein. Die Entscheidungsvorschläge des Systems haben direkten Einfluss auf:</w:t>
      </w:r>
    </w:p>
    <w:p>
      <w:pPr>
        <w:pStyle w:val="ListBullet"/>
      </w:pPr>
      <w:r>
        <w:t>Arbeitsbedingungen (Tourenlänge, Nacht-/Frühschichten)</w:t>
      </w:r>
    </w:p>
    <w:p>
      <w:pPr>
        <w:pStyle w:val="ListBullet"/>
      </w:pPr>
      <w:r>
        <w:t>Tatsächliche Arbeitszuweisung</w:t>
      </w:r>
    </w:p>
    <w:p>
      <w:pPr>
        <w:pStyle w:val="ListBullet"/>
      </w:pPr>
      <w:r>
        <w:t>Indirekt: Leistungsbeurteilung (da Tourdaten archiviert werden)</w:t>
      </w:r>
    </w:p>
    <w:p>
      <w:pPr>
        <w:jc w:val="left"/>
      </w:pPr>
      <w:r>
        <w:rPr>
          <w:b/>
        </w:rPr>
        <w:t>Nr. 5 — Zugang zu Dienstleistungen:</w:t>
      </w:r>
      <w:r>
        <w:t xml:space="preserve"> Nicht primär anwendbar.</w:t>
      </w:r>
    </w:p>
    <w:p>
      <w:pPr>
        <w:jc w:val="left"/>
      </w:pPr>
      <w:r>
        <w:rPr>
          <w:b/>
        </w:rPr>
        <w:t>Nr. 6 — Strafverfolgung:</w:t>
      </w:r>
      <w:r>
        <w:t xml:space="preserve"> Nicht anwendbar.</w:t>
      </w:r>
    </w:p>
    <w:p>
      <w:pPr>
        <w:jc w:val="left"/>
      </w:pPr>
      <w:r>
        <w:rPr>
          <w:b/>
        </w:rPr>
        <w:t>Nr. 7 — Migration, Asyl, Grenzkontrolle:</w:t>
      </w:r>
      <w:r>
        <w:t xml:space="preserve"> Nicht anwendbar.</w:t>
      </w:r>
    </w:p>
    <w:p>
      <w:pPr>
        <w:jc w:val="left"/>
      </w:pPr>
      <w:r>
        <w:rPr>
          <w:b/>
        </w:rPr>
        <w:t>Nr. 8 — Rechtspflege und demokratische Prozesse:</w:t>
      </w:r>
      <w:r>
        <w:t xml:space="preserve"> Nicht anwendbar.</w:t>
      </w:r>
    </w:p>
    <w:p>
      <w:pPr>
        <w:pStyle w:val="Heading3"/>
      </w:pPr>
      <w:r>
        <w:rPr>
          <w:rFonts w:ascii="Times New Roman" w:hAnsi="Times New Roman"/>
        </w:rPr>
        <w:t>3.2 Ergebnis der Klassifizierung</w:t>
      </w:r>
    </w:p>
    <w:p>
      <w:pPr>
        <w:jc w:val="left"/>
      </w:pPr>
      <w:r>
        <w:rPr>
          <w:b/>
        </w:rPr>
        <w:t>PalettenAuge AI fällt unter Anhang III Nr. 4 KI-VO (Beschäftigung / Personalmanagement) und ist als Hochrisiko-KI-System einzustufen.</w:t>
      </w:r>
    </w:p>
    <w:p>
      <w:pPr>
        <w:jc w:val="left"/>
      </w:pPr>
      <w:r>
        <w:rPr>
          <w:b/>
        </w:rPr>
        <w:t>Begründung im Einzelnen:</w:t>
      </w:r>
    </w:p>
    <w:p>
      <w:pPr>
        <w:pStyle w:val="ListNumber"/>
      </w:pPr>
      <w:r>
        <w:t>Das System trifft Empfehlungen zur Personaleinsatzplanung, die in der Praxis regelmäßig ohne nennenswerte menschliche Überprüfung übernommen werden (de-facto-Automatisierung).</w:t>
      </w:r>
    </w:p>
    <w:p>
      <w:pPr>
        <w:pStyle w:val="ListNumber"/>
      </w:pPr>
      <w:r>
        <w:t>Die Einbeziehung von Gesundheitsdaten (Krankheitstage) in den Algorithmus erhöht das Risiko einer faktischen Diskriminierung gesundheitlich beeinträchtigter Mitarbeiter.</w:t>
      </w:r>
    </w:p>
    <w:p>
      <w:pPr>
        <w:pStyle w:val="ListNumber"/>
      </w:pPr>
      <w:r>
        <w:t>Die Leistungshistorie (welche Touren, welche Zeiten, Tempodaten) fließt in eine Art implizites Bewertungssystem ein, das arbeitsrechtlich relevant ist.</w:t>
      </w:r>
    </w:p>
    <w:p>
      <w:pPr>
        <w:pStyle w:val="ListNumber"/>
      </w:pPr>
      <w:r>
        <w:t>Im Kontext des Datenschutzvorfalles wurden diese Daten exfiltriert — das zeigt die Sensibilität und die realen Risiken bei Missbrauch.</w:t>
      </w:r>
    </w:p>
    <w:p/>
    <w:p>
      <w:pPr>
        <w:pStyle w:val="Heading2"/>
      </w:pPr>
      <w:r>
        <w:rPr>
          <w:rFonts w:ascii="Times New Roman" w:hAnsi="Times New Roman"/>
        </w:rPr>
        <w:t>4. Pflichten des Betreibers (Frischetrans als Deployer)</w:t>
      </w:r>
    </w:p>
    <w:p>
      <w:pPr>
        <w:jc w:val="left"/>
      </w:pPr>
      <w:r>
        <w:t xml:space="preserve">Als </w:t>
      </w:r>
      <w:r>
        <w:rPr>
          <w:b/>
        </w:rPr>
        <w:t>Deployer</w:t>
      </w:r>
      <w:r>
        <w:t xml:space="preserve"> (Betreiber) eines Hochrisiko-KI-Systems hat Frischetrans nach Art. 26 KI-VO folgende Pflichten: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Implementierung technischer und organisatorischer Maßnahmen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1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Menschliche Aufsicht (Human Oversight)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2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Betriebstagebuch / Protokollierung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5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(IT-Logs)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Information der Arbeitnehmer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7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Konsultation des Betriebsrats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BetrVG § 87 Abs. 1 Nr. 6 (Mitbestimmung)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Einsatz / jetzt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Sicherstellung Konformitätserklärung des Anbieters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1 i.V.m. Art. 47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Registrierung in EU-Datenbank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26 Abs. 1 i.V.m. Art. 71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4.1 Pflichten des Anbieters (DachAuge GmbH als Provider)</w:t>
      </w:r>
    </w:p>
    <w:p>
      <w:pPr>
        <w:jc w:val="left"/>
      </w:pPr>
      <w:r>
        <w:t xml:space="preserve">Der Anbieter DachAuge GmbH hat als </w:t>
      </w:r>
      <w:r>
        <w:rPr>
          <w:b/>
        </w:rPr>
        <w:t>Provider</w:t>
      </w:r>
      <w:r>
        <w:t xml:space="preserve"> nach Art. 16 ff. KI-VO folgende Pflichten:</w:t>
      </w:r>
    </w:p>
    <w:p>
      <w:pPr>
        <w:pStyle w:val="ListBullet"/>
      </w:pPr>
      <w:r>
        <w:t>Konformitätsbewertung (Art. 43 KI-VO)</w:t>
      </w:r>
    </w:p>
    <w:p>
      <w:pPr>
        <w:pStyle w:val="ListBullet"/>
      </w:pPr>
      <w:r>
        <w:t>Technische Dokumentation (Anhang IV KI-VO)</w:t>
      </w:r>
    </w:p>
    <w:p>
      <w:pPr>
        <w:pStyle w:val="ListBullet"/>
      </w:pPr>
      <w:r>
        <w:t>Konformitätserklärung (Art. 47 KI-VO)</w:t>
      </w:r>
    </w:p>
    <w:p>
      <w:pPr>
        <w:pStyle w:val="ListBullet"/>
      </w:pPr>
      <w:r>
        <w:t>CE-Kennzeichnung (Art. 48 KI-VO)</w:t>
      </w:r>
    </w:p>
    <w:p>
      <w:pPr>
        <w:pStyle w:val="ListBullet"/>
      </w:pPr>
      <w:r>
        <w:t>Registrierung in der EU-KI-Datenbank (Art. 71 KI-VO)</w:t>
      </w:r>
    </w:p>
    <w:p>
      <w:pPr>
        <w:jc w:val="left"/>
      </w:pPr>
      <w:r>
        <w:rPr>
          <w:b/>
        </w:rPr>
        <w:t>Frischetrans muss bei DachAuge die Vorlage dieser Dokumente einfordern.</w:t>
      </w:r>
    </w:p>
    <w:p/>
    <w:p>
      <w:pPr>
        <w:pStyle w:val="Heading2"/>
      </w:pPr>
      <w:r>
        <w:rPr>
          <w:rFonts w:ascii="Times New Roman" w:hAnsi="Times New Roman"/>
        </w:rPr>
        <w:t>5. Arbeitsrechtliche Dimension (§ 87 BetrVG)</w:t>
      </w:r>
    </w:p>
    <w:p>
      <w:pPr>
        <w:jc w:val="left"/>
      </w:pPr>
      <w:r>
        <w:t>Das Mitbestimmungsrecht des Betriebsrats nach § 87 Abs. 1 Nr. 6 BetrVG (technische Überwachungseinrichtungen) ist eindeutig berührt:</w:t>
      </w:r>
    </w:p>
    <w:p>
      <w:pPr>
        <w:jc w:val="left"/>
      </w:pPr>
      <w:r>
        <w:t xml:space="preserve">PalettenAuge AI überwacht indirekt das Verhalten und die Leistung der Fahrer (Tourdaten, Tempoverläufe, Standortdaten) und wertet diese für die Dispositionsempfehlung aus. Eine </w:t>
      </w:r>
      <w:r>
        <w:rPr>
          <w:b/>
        </w:rPr>
        <w:t>Betriebsvereinbarung über den Einsatz von PalettenAuge AI</w:t>
      </w:r>
      <w:r>
        <w:t xml:space="preserve"> ist erforderlich.</w:t>
      </w:r>
    </w:p>
    <w:p>
      <w:pPr>
        <w:jc w:val="left"/>
      </w:pPr>
      <w:r>
        <w:rPr>
          <w:b/>
        </w:rPr>
        <w:t>Empfehlung:</w:t>
      </w:r>
      <w:r>
        <w:t xml:space="preserve"> Abschluss einer Betriebsvereinbarung nach § 87 Abs. 1 Nr. 6 BetrVG, die Folgendes regelt:</w:t>
      </w:r>
    </w:p>
    <w:p>
      <w:pPr>
        <w:pStyle w:val="ListBullet"/>
      </w:pPr>
      <w:r>
        <w:t>Zweck der Datenverarbeitung durch PalettenAuge AI</w:t>
      </w:r>
    </w:p>
    <w:p>
      <w:pPr>
        <w:pStyle w:val="ListBullet"/>
      </w:pPr>
      <w:r>
        <w:t>Welche Daten fließen ein</w:t>
      </w:r>
    </w:p>
    <w:p>
      <w:pPr>
        <w:pStyle w:val="ListBullet"/>
      </w:pPr>
      <w:r>
        <w:t>Wie wird sichergestellt, dass die KI-Empfehlungen nur als Entscheidungsunterstützung (nicht als automatische Entscheidung) genutzt werden</w:t>
      </w:r>
    </w:p>
    <w:p>
      <w:pPr>
        <w:pStyle w:val="ListBullet"/>
      </w:pPr>
      <w:r>
        <w:t>Recht der Mitarbeiter auf Auskunft über sie betreffende Auswertungen</w:t>
      </w:r>
    </w:p>
    <w:p>
      <w:pPr>
        <w:pStyle w:val="ListBullet"/>
      </w:pPr>
      <w:r>
        <w:t>Aufbewahrungsfristen der Leistungsdaten</w:t>
      </w:r>
    </w:p>
    <w:p/>
    <w:p>
      <w:pPr>
        <w:pStyle w:val="Heading2"/>
      </w:pPr>
      <w:r>
        <w:rPr>
          <w:rFonts w:ascii="Times New Roman" w:hAnsi="Times New Roman"/>
        </w:rPr>
        <w:t>6. Empfehlungen und Handlungsplan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Anforderung Konformitätsdokumentation bei DachAuge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Drosten /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Betriebsvereinbarung PalettenAuge AI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Wallbruck / Betriebsrat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Implementierung Human-Oversight-Prozess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 / Disposition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DSGVO-Datenschutzfolgenabschätzung PalettenAuge (Art. 35 DSGVO)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 Feilke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 Disponenten zu KI-Aufsichtspflichten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 in EU-KI-Datenbank (über DachAuge)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DachAuge / RA Drosten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Prüfung: Weiter-Einsatz bis Konformität gesichert?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+ RA Drosten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</w:tbl>
    <w:p>
      <w:pPr>
        <w:jc w:val="left"/>
      </w:pPr>
      <w:r>
        <w:rPr>
          <w:b/>
        </w:rPr>
        <w:t>Kritische Empfehlung:</w:t>
      </w:r>
      <w:r>
        <w:t xml:space="preserve"> Bis zur Sicherstellung der vollständigen KI-VO-Konformität sollte der automatisierte Personaleinsatz-Modus von PalettenAuge AI ausgesetzt und nur die Routenoptimierungsfunktion (ohne Personaldaten) genutzt werden.</w:t>
      </w:r>
    </w:p>
    <w:p/>
    <w:p>
      <w:pPr>
        <w:pStyle w:val="Heading2"/>
      </w:pPr>
      <w:r>
        <w:rPr>
          <w:rFonts w:ascii="Times New Roman" w:hAnsi="Times New Roman"/>
        </w:rPr>
        <w:t>7. Bußgeldrisiko</w:t>
      </w:r>
    </w:p>
    <w:p>
      <w:pPr>
        <w:jc w:val="left"/>
      </w:pPr>
      <w:r>
        <w:t>Bei Verstößen gegen die KI-VO drohen Bußgelder nach Art. 99 KI-VO:</w:t>
      </w:r>
    </w:p>
    <w:p>
      <w:pPr>
        <w:pStyle w:val="ListBullet"/>
      </w:pPr>
      <w:r>
        <w:t>Verwendung eines verbotenen KI-Systems (nicht einschlägig): bis 35 Mio. EUR / 7 % des weltweiten Umsatzes</w:t>
      </w:r>
    </w:p>
    <w:p>
      <w:pPr>
        <w:pStyle w:val="ListBullet"/>
      </w:pPr>
      <w:r>
        <w:t>Verwendung ohne Konformitätsbewertung (Hochrisiko): bis 15 Mio. EUR / 3 % des weltweiten Umsatzes</w:t>
      </w:r>
    </w:p>
    <w:p>
      <w:pPr>
        <w:pStyle w:val="ListBullet"/>
      </w:pPr>
      <w:r>
        <w:t>Falsche Angaben gegenüber Behörden: bis 7,5 Mio. EUR / 1 %</w:t>
      </w:r>
    </w:p>
    <w:p>
      <w:pPr>
        <w:jc w:val="left"/>
      </w:pPr>
      <w:r>
        <w:t>Für Frischetrans als KMU sind reduzierte Bußgelder vorgesehen (Art. 99 Abs. 5 KI-VO). Das Risiko besteht aber auch für DachAuge als Provider.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