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Strategiememorandum — RA Lukas Drosten</w:t>
      </w:r>
    </w:p>
    <w:p>
      <w:pPr>
        <w:jc w:val="left"/>
      </w:pPr>
      <w:r>
        <w:rPr>
          <w:b/>
        </w:rPr>
        <w:t>Aktenstück:</w:t>
      </w:r>
      <w:r>
        <w:t xml:space="preserve"> 20</w:t>
      </w:r>
    </w:p>
    <w:p>
      <w:pPr>
        <w:jc w:val="left"/>
      </w:pPr>
      <w:r>
        <w:rPr>
          <w:b/>
        </w:rPr>
        <w:t>Datum:</w:t>
      </w:r>
      <w:r>
        <w:t xml:space="preserve"> 13.05.2026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</w:t>
      </w:r>
    </w:p>
    <w:p>
      <w:pPr>
        <w:jc w:val="left"/>
      </w:pPr>
      <w:r>
        <w:rPr>
          <w:b/>
        </w:rPr>
        <w:t>Verfasser:</w:t>
      </w:r>
      <w:r>
        <w:t xml:space="preserve"> RA Lukas Drosten, Fachanwalt für IT-Recht</w:t>
      </w:r>
    </w:p>
    <w:p>
      <w:pPr>
        <w:jc w:val="left"/>
      </w:pPr>
      <w:r>
        <w:rPr>
          <w:b/>
        </w:rPr>
        <w:t>Vertraulich — Anwaltliches Berufsgeheimnis</w:t>
      </w:r>
    </w:p>
    <w:p/>
    <w:p>
      <w:pPr>
        <w:pStyle w:val="Heading2"/>
      </w:pPr>
      <w:r>
        <w:rPr>
          <w:rFonts w:ascii="Times New Roman" w:hAnsi="Times New Roman"/>
        </w:rPr>
        <w:t>1. Überblick und Gesamtlage</w:t>
      </w:r>
    </w:p>
    <w:p>
      <w:pPr>
        <w:jc w:val="left"/>
      </w:pPr>
      <w:r>
        <w:t>Sieben Tage nach dem Ransomware-Angriff lässt sich eine erste fundierte strategische Gesamtbewertung vornehmen. Das Mandat hat sich von einer reinen Notfall-Reaktion zur umfassenden IT-rechtlichen Beratung entwickelt und umfasst nunmehr folgende Komplexe: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Komplex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A. Datenschutz / DSGVO (Art. 33, 34, 35)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Erstmeldungen erstattet, DSFA eingeleitet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B. NIS2 / BSI-Meldung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Erstattet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C. Strafanzeige ZAC Mainz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Erstattet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D. ProcessSpark — SLA-Verletzung / Schadensersatz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Klageandrohung raus, Frist bis 26.05.2026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E. KI-VO — PalettenAuge AI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Analyse abgeschlossen, Maßnahmen eingeleitet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F. Open Source Compliance TourPlanner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Audit abgeschlossen, Handlungsoptionen identifiziert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G. Betriebsrat / Mitarbeiter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Anhörung erledigt, BV-Entwürfe folgen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H. Versicherung CyberCovered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Gemeldet, Regulierung in Lauf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I. Kundenkommunikation / Schadensersatz Kunden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Mittel-Hoch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Anschreiben raus, Frischbäcker AG zeigt Ansprüche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Rechtliche Kernrisiken und Risikobewertung</w:t>
      </w:r>
    </w:p>
    <w:p>
      <w:pPr>
        <w:pStyle w:val="Heading3"/>
      </w:pPr>
      <w:r>
        <w:rPr>
          <w:rFonts w:ascii="Times New Roman" w:hAnsi="Times New Roman"/>
        </w:rPr>
        <w:t>2.1 DSGVO-Bußgeldrisiko</w:t>
      </w:r>
    </w:p>
    <w:p>
      <w:pPr>
        <w:jc w:val="left"/>
      </w:pPr>
      <w:r>
        <w:rPr>
          <w:b/>
        </w:rPr>
        <w:t>Risikoprofil:</w:t>
      </w:r>
      <w:r>
        <w:t xml:space="preserve"> Mittel bis Hoch</w:t>
      </w:r>
    </w:p>
    <w:p>
      <w:pPr>
        <w:jc w:val="left"/>
      </w:pPr>
      <w:r>
        <w:t>Der LfDI RLP hat die Meldung entgegengenommen und Rückfragen gestellt. Die entscheidende Frage ist, ob der LfDI ein Bußgeldverfahren eröffnet. Relevante Gesichtspunkte:</w:t>
      </w:r>
    </w:p>
    <w:p>
      <w:pPr>
        <w:pStyle w:val="ListBullet"/>
      </w:pPr>
      <w:r>
        <w:rPr>
          <w:b/>
        </w:rPr>
        <w:t>Positiv:</w:t>
      </w:r>
      <w:r>
        <w:t xml:space="preserve"> Frischetrans hat alle Meldepflichten fristgerecht erfüllt (Art. 33 DSGVO: innerhalb 72 h; BSI: innerhalb 24 h). Proaktive Transparenz gegenüber Behörden.</w:t>
      </w:r>
    </w:p>
    <w:p>
      <w:pPr>
        <w:pStyle w:val="ListBullet"/>
      </w:pPr>
      <w:r>
        <w:rPr>
          <w:b/>
        </w:rPr>
        <w:t>Negativ:</w:t>
      </w:r>
      <w:r>
        <w:t xml:space="preserve"> Die TOMs (technisch-organisatorische Maßnahmen) waren zum Zeitpunkt des Angriffs für die Verarbeitung von Art.-9-Daten (Gesundheitsdaten BEM) unzureichend (fehlende at-rest-Verschlüsselung, unzureichendes Patch-Management).</w:t>
      </w:r>
    </w:p>
    <w:p>
      <w:pPr>
        <w:pStyle w:val="ListBullet"/>
      </w:pPr>
      <w:r>
        <w:rPr>
          <w:b/>
        </w:rPr>
        <w:t>Mildernd:</w:t>
      </w:r>
      <w:r>
        <w:t xml:space="preserve"> Die unmittelbaren Mängel (Patch-Rückstand) sind auf den IT-Dienstleister ProcessSpark zurückzuführen. Frischetrans hat die Patchverantwortung vertraglich an ProcessSpark übertragen. Dies mindert das eigene Verschulden, entlastet aber nicht vollständig.</w:t>
      </w:r>
    </w:p>
    <w:p>
      <w:pPr>
        <w:jc w:val="left"/>
      </w:pPr>
      <w:r>
        <w:rPr>
          <w:b/>
        </w:rPr>
        <w:t>Bußgeldrisiko-Schätzung:</w:t>
      </w:r>
      <w:r>
        <w:t xml:space="preserve"> 50.000–350.000 EUR (Art. 83 Abs. 4 DSGVO, Verstöße gegen Art. 32 DSGVO; Bußgeldrahmen 10 Mio. EUR / 2 %)</w:t>
      </w:r>
    </w:p>
    <w:p>
      <w:pPr>
        <w:jc w:val="left"/>
      </w:pPr>
      <w:r>
        <w:rPr>
          <w:b/>
        </w:rPr>
        <w:t>Strategie:</w:t>
      </w:r>
      <w:r>
        <w:t xml:space="preserve"> Vollständige Kooperation mit LfDI, schnelle Umsetzung der DSFA-Maßnahmen, Vorlage eines detaillierten Verbesserungsplans — dies mildert Bußgelder erheblich.</w:t>
      </w:r>
    </w:p>
    <w:p>
      <w:pPr>
        <w:pStyle w:val="Heading3"/>
      </w:pPr>
      <w:r>
        <w:rPr>
          <w:rFonts w:ascii="Times New Roman" w:hAnsi="Times New Roman"/>
        </w:rPr>
        <w:t>2.2 ProcessSpark — Klagerisiko und Einigungschance</w:t>
      </w:r>
    </w:p>
    <w:p>
      <w:pPr>
        <w:jc w:val="left"/>
      </w:pPr>
      <w:r>
        <w:rPr>
          <w:b/>
        </w:rPr>
        <w:t>Risikoprofil:</w:t>
      </w:r>
      <w:r>
        <w:t xml:space="preserve"> Hoch (Klagerisiko für ProcessSpark), Mittel (Prozessrisiko für Frischetrans)</w:t>
      </w:r>
    </w:p>
    <w:p>
      <w:pPr>
        <w:jc w:val="left"/>
      </w:pPr>
      <w:r>
        <w:t>Die Haftungssituation gegen ProcessSpark ist gut. Die Beweislage (SAP Security Note, Patch-Log, forensischer Bericht) ist stark. Der einzige nennenswerte Unsicherheitsfaktor ist die Haftungsbeschränkungsklausel (§ 16 Vertrag), deren Wirksamkeit aber bezweifelt werden darf.</w:t>
      </w:r>
    </w:p>
    <w:p>
      <w:pPr>
        <w:jc w:val="left"/>
      </w:pPr>
      <w:r>
        <w:rPr>
          <w:b/>
        </w:rPr>
        <w:t>Realistische Einigungschance:</w:t>
      </w:r>
      <w:r>
        <w:t xml:space="preserve"> 60–70 % (außergerichtliche Einigung nach Klageandrohung). ProcessSpark hat kein Interesse an einem öffentlichen Prozess mit Aufmerksamkeit auf CVE-2026-0712-Patchversagen.</w:t>
      </w:r>
    </w:p>
    <w:p>
      <w:pPr>
        <w:jc w:val="left"/>
      </w:pPr>
      <w:r>
        <w:rPr>
          <w:b/>
        </w:rPr>
        <w:t>Strategie:</w:t>
      </w:r>
      <w:r>
        <w:t xml:space="preserve"> Die Frist (26.05.2026) wird konsequent gehalten. Bei Nichtreaktion: Klageeinreichung am LG Mainz (AZ 3 O 88/26). Gleichzeitig Offenheit für Mediationsverfahren oder EU-ODR-Verhandlung (Skill </w:t>
      </w:r>
      <w:r>
        <w:t>fachanwalt-it-recht-it-vertrag-verhandlung-eu-odr</w:t>
      </w:r>
      <w:r>
        <w:t>).</w:t>
      </w:r>
    </w:p>
    <w:p>
      <w:pPr>
        <w:jc w:val="left"/>
      </w:pPr>
      <w:r>
        <w:rPr>
          <w:b/>
        </w:rPr>
        <w:t>Alternative:</w:t>
      </w:r>
      <w:r>
        <w:t xml:space="preserve"> Sanierungsverhandlung mit ProcessSpark: Klage wird ausgesetzt gegen Zusage erhöhter SLAs, Kostenerstattung, Vertragsanpassung (neue Patchpflichten). Sinnvoll, wenn Mandantin den Vertrag fortsetzen möchte.</w:t>
      </w:r>
    </w:p>
    <w:p>
      <w:pPr>
        <w:pStyle w:val="Heading3"/>
      </w:pPr>
      <w:r>
        <w:rPr>
          <w:rFonts w:ascii="Times New Roman" w:hAnsi="Times New Roman"/>
        </w:rPr>
        <w:t>2.3 Kundenforderungen (Frischbäcker AG)</w:t>
      </w:r>
    </w:p>
    <w:p>
      <w:pPr>
        <w:jc w:val="left"/>
      </w:pPr>
      <w:r>
        <w:rPr>
          <w:b/>
        </w:rPr>
        <w:t>Risikoprofil:</w:t>
      </w:r>
      <w:r>
        <w:t xml:space="preserve"> Mittel</w:t>
      </w:r>
    </w:p>
    <w:p>
      <w:pPr>
        <w:jc w:val="left"/>
      </w:pPr>
      <w:r>
        <w:t>Frischbäcker AG hat anwaltliche Beratung eingeholt und prüft Schadensersatzansprüche. Hauptargument wird der Betriebsunterbrechungsschaden (Lieferausfall 07.05.2026) sein.</w:t>
      </w:r>
    </w:p>
    <w:p>
      <w:pPr>
        <w:jc w:val="left"/>
      </w:pPr>
      <w:r>
        <w:rPr>
          <w:b/>
        </w:rPr>
        <w:t>Strategie:</w:t>
      </w:r>
      <w:r>
        <w:t xml:space="preserve"> CyberCovered AG (Drittparteideckung) informieren. Force-Majeure-Einwand aus Rahmenvertrag prüfen. Ggf. Vergleich anbieten, wenn Forderung überschaubar.</w:t>
      </w:r>
    </w:p>
    <w:p>
      <w:pPr>
        <w:pStyle w:val="Heading3"/>
      </w:pPr>
      <w:r>
        <w:rPr>
          <w:rFonts w:ascii="Times New Roman" w:hAnsi="Times New Roman"/>
        </w:rPr>
        <w:t>2.4 KI-VO — Fristrisiko (02.08.2026)</w:t>
      </w:r>
    </w:p>
    <w:p>
      <w:pPr>
        <w:jc w:val="left"/>
      </w:pPr>
      <w:r>
        <w:t xml:space="preserve">Die EU-KI-VO Hochrisikopflichten gelten ab 02.08.2026. Bis dahin sind noch </w:t>
      </w:r>
      <w:r>
        <w:rPr>
          <w:b/>
        </w:rPr>
        <w:t>81 Tage</w:t>
      </w:r>
      <w:r>
        <w:t>. Das ist knapp. PalettenAuge AI muss bis dahin entweder:</w:t>
      </w:r>
    </w:p>
    <w:p>
      <w:pPr>
        <w:pStyle w:val="ListBullet"/>
      </w:pPr>
      <w:r>
        <w:t>vollständig konform gemacht werden (Konformitätsbewertung durch DachAuge, Betriebsvereinbarung, Human-Oversight-Prozess), oder</w:t>
      </w:r>
    </w:p>
    <w:p>
      <w:pPr>
        <w:pStyle w:val="ListBullet"/>
      </w:pPr>
      <w:r>
        <w:t>in eingeschränktem Modus betrieben werden (keine Personaldaten-Einspeisung).</w:t>
      </w:r>
    </w:p>
    <w:p>
      <w:pPr>
        <w:jc w:val="left"/>
      </w:pPr>
      <w:r>
        <w:rPr>
          <w:b/>
        </w:rPr>
        <w:t>Risiko bei Nichthandeln:</w:t>
      </w:r>
      <w:r>
        <w:t xml:space="preserve"> Bußgeld bis 15 Mio. EUR (Art. 99 KI-VO) — für KMU deutlich reduziert, aber empfindlich.</w:t>
      </w:r>
    </w:p>
    <w:p>
      <w:pPr>
        <w:pStyle w:val="Heading3"/>
      </w:pPr>
      <w:r>
        <w:rPr>
          <w:rFonts w:ascii="Times New Roman" w:hAnsi="Times New Roman"/>
        </w:rPr>
        <w:t>2.5 Open Source / AGPL</w:t>
      </w:r>
    </w:p>
    <w:p>
      <w:pPr>
        <w:jc w:val="left"/>
      </w:pPr>
      <w:r>
        <w:t>Kurzfristig kein behördliches Risiko. Aber Abmahnungsrisiko durch ScheduleHero Foundation ist real. Die Kosten einer außergerichtlichen Einigung (kommerzielle Lizenz oder freiwillige Code-Offenlegung) sind überschaubar im Vergleich zu einem Rechtsstreit.</w:t>
      </w:r>
    </w:p>
    <w:p/>
    <w:p>
      <w:pPr>
        <w:pStyle w:val="Heading2"/>
      </w:pPr>
      <w:r>
        <w:rPr>
          <w:rFonts w:ascii="Times New Roman" w:hAnsi="Times New Roman"/>
        </w:rPr>
        <w:t>3. Mandatspriorisierung (Empfehlung)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ProcessSpark: Frist überwachen (26.05.2026)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LfDI: DSFA und Verbesserungsplan einreichen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 + DSB Feilke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Betriebsrat: Betriebsvereinbarung KI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DachAuge: Konformitätsdokumentation anfordern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AGPL: Kontaktaufnahme ScheduleHero Foundation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Versicherung: Schadensdokumentation komplett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Frischetrans + RA Drosten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Mitarbeiterversammlung organisieren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 + BR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ProcessSpark-Klage vorbereiten (Schriftsatz LG Mainz)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Drosten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Gesamteinschätzung</w:t>
      </w:r>
    </w:p>
    <w:p>
      <w:pPr>
        <w:jc w:val="left"/>
      </w:pPr>
      <w:r>
        <w:t>Der Mandantin ist zu bescheinigen, dass sie in dieser Ausnahmesituation trotz enormer operativer Belastung kluge Entscheidungen getroffen hat: keine Lösegeldzahlung, sofortige Behördenkommunikation, proaktive Mitarbeiterinformation, konstruktive Zusammenarbeit mit der Kanzlei. Das ist der Idealfall einer datenschutzrechtlichen Incident Response.</w:t>
      </w:r>
    </w:p>
    <w:p>
      <w:pPr>
        <w:jc w:val="left"/>
      </w:pPr>
      <w:r>
        <w:t>Die größten verbleibenden Risiken sind (a) ein mögliches LfDI-Bußgeld (mittelbar durch ProcessSparks Patchversagen verursacht), (b) die KI-VO-Compliance-Frist für PalettenAuge AI und (c) die AGPL-Compliance-Frage für TourPlanner.</w:t>
      </w:r>
    </w:p>
    <w:p>
      <w:pPr>
        <w:jc w:val="left"/>
      </w:pPr>
      <w:r>
        <w:t>Der Fall gegen ProcessSpark ist juristisch stark und verspricht hohe Erfolgschancen.</w:t>
      </w:r>
    </w:p>
    <w:p>
      <w:pPr>
        <w:jc w:val="left"/>
      </w:pPr>
      <w:r>
        <w:rPr>
          <w:b/>
        </w:rPr>
        <w:t>Gesamtschadenspotenzial Mandantin (worst case):</w:t>
      </w:r>
      <w:r>
        <w:t xml:space="preserve"> ca. 1,2–2,0 Mio. EUR</w:t>
      </w:r>
    </w:p>
    <w:p>
      <w:pPr>
        <w:jc w:val="left"/>
      </w:pPr>
      <w:r>
        <w:rPr>
          <w:b/>
        </w:rPr>
        <w:t>Erwartetes Regressvolumen aus ProcessSpark:</w:t>
      </w:r>
      <w:r>
        <w:t xml:space="preserve"> ca. 500.000–700.000 EUR (netto nach Prozesskosten)</w:t>
      </w:r>
    </w:p>
    <w:p>
      <w:pPr>
        <w:jc w:val="left"/>
      </w:pPr>
      <w:r>
        <w:rPr>
          <w:b/>
        </w:rPr>
        <w:t>Versicherungsdeckung:</w:t>
      </w:r>
      <w:r>
        <w:t xml:space="preserve"> bis 5 Mio. EUR (abzügl. Selbstbehalt 25.000 EUR laut Police)</w:t>
      </w:r>
    </w:p>
    <w:p>
      <w:pPr>
        <w:jc w:val="left"/>
      </w:pPr>
      <w:r>
        <w:rPr>
          <w:b/>
        </w:rPr>
        <w:t>Netto-Belastung Mandantin (Schätzung):</w:t>
      </w:r>
      <w:r>
        <w:t xml:space="preserve"> ca. 100.000–400.000 EUR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