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BaFin-Anzeige: MiCA / Stablecoin-Verstoß durch CryptoFutureMax.io</w:t>
      </w:r>
    </w:p>
    <w:p>
      <w:pPr>
        <w:jc w:val="left"/>
      </w:pPr>
      <w:r>
        <w:rPr>
          <w:b/>
        </w:rPr>
        <w:t>An:</w:t>
      </w:r>
    </w:p>
    <w:p>
      <w:pPr>
        <w:jc w:val="left"/>
      </w:pPr>
      <w:r>
        <w:t>Bundesanstalt für Finanzdienstleistungsaufsicht (BaFin)</w:t>
      </w:r>
    </w:p>
    <w:p>
      <w:pPr>
        <w:jc w:val="left"/>
      </w:pPr>
      <w:r>
        <w:t>Referat WA 54 – Kryptowerte / DLT</w:t>
      </w:r>
    </w:p>
    <w:p>
      <w:pPr>
        <w:jc w:val="left"/>
      </w:pPr>
      <w:r>
        <w:t>Graurheindorfer Str. 108 · 53117 Bonn</w:t>
      </w:r>
    </w:p>
    <w:p>
      <w:pPr>
        <w:jc w:val="left"/>
      </w:pPr>
      <w:r>
        <w:t>sowie: BaFin Frankfurt, Marie-Curie-Str. 24–28, 60439 Frankfurt am Main</w:t>
      </w:r>
    </w:p>
    <w:p>
      <w:pPr>
        <w:jc w:val="left"/>
      </w:pPr>
      <w:r>
        <w:t>Fax: 0228 / 4108-1550</w:t>
      </w:r>
    </w:p>
    <w:p>
      <w:pPr>
        <w:jc w:val="left"/>
      </w:pPr>
      <w:r>
        <w:rPr>
          <w:b/>
        </w:rPr>
        <w:t>Von:</w:t>
      </w:r>
    </w:p>
    <w:p>
      <w:pPr>
        <w:jc w:val="left"/>
      </w:pPr>
      <w:r>
        <w:t>Kanzlei Pflüger Schoeneberg Bankrecht</w:t>
      </w:r>
    </w:p>
    <w:p>
      <w:pPr>
        <w:jc w:val="left"/>
      </w:pPr>
      <w:r>
        <w:t>Am Markt 14 · 28195 Bremen</w:t>
      </w:r>
    </w:p>
    <w:p>
      <w:pPr>
        <w:jc w:val="left"/>
      </w:pPr>
      <w:r>
        <w:rPr>
          <w:b/>
        </w:rPr>
        <w:t>Datum:</w:t>
      </w:r>
      <w:r>
        <w:t xml:space="preserve"> 14.04.2026</w:t>
      </w:r>
    </w:p>
    <w:p>
      <w:pPr>
        <w:jc w:val="left"/>
      </w:pPr>
      <w:r>
        <w:rPr>
          <w:b/>
        </w:rPr>
        <w:t>Unser Zeichen:</w:t>
      </w:r>
      <w:r>
        <w:t xml:space="preserve"> PS-BKR-2026-0412/10</w:t>
      </w:r>
    </w:p>
    <w:p>
      <w:pPr>
        <w:jc w:val="left"/>
      </w:pPr>
      <w:r>
        <w:rPr>
          <w:b/>
        </w:rPr>
        <w:t>Betreff:</w:t>
      </w:r>
      <w:r>
        <w:t xml:space="preserve"> Anzeige wegen Verdachts des unerlaubten Angebots von Kryptowerten i.S.d. MiCA-Verordnung sowie Verstoßes gegen § 32 KWG durch CryptoFutureMax.io</w:t>
      </w:r>
    </w:p>
    <w:p/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 xml:space="preserve">Wir vertreten Frau Eva-Maria Wittfeldt (→ Vollmacht liegt bei), die im Zeitraum September 2024 bis März 2025 Opfer eines Cybertrading-Betruges durch die Plattform </w:t>
      </w:r>
      <w:r>
        <w:rPr>
          <w:b/>
        </w:rPr>
        <w:t>CryptoFutureMax.io</w:t>
      </w:r>
      <w:r>
        <w:t xml:space="preserve"> wurde (Gesamtschaden: 387.420 EUR). Die vollständigen Sachverhaltsdarstellungen sind der beigefügten Strafanzeige (Kopie, AZ: ZD 3001 UJs 8841/26, Polizei Bremen ZKD) zu entnehmen.</w:t>
      </w:r>
    </w:p>
    <w:p/>
    <w:p>
      <w:pPr>
        <w:pStyle w:val="Heading2"/>
      </w:pPr>
      <w:r>
        <w:rPr>
          <w:rFonts w:ascii="Times New Roman" w:hAnsi="Times New Roman"/>
        </w:rPr>
        <w:t>II. Verdacht: Unerlaubtes Angebot von E-Money-Tokens / Asset-Referenced Tokens ohne MiCA-Zulassung</w:t>
      </w:r>
    </w:p>
    <w:p>
      <w:pPr>
        <w:pStyle w:val="Heading3"/>
      </w:pPr>
      <w:r>
        <w:rPr>
          <w:rFonts w:ascii="Times New Roman" w:hAnsi="Times New Roman"/>
        </w:rPr>
        <w:t>1. Das Produkt „USDT Stablecoin Arbitrage Pool"</w:t>
      </w:r>
    </w:p>
    <w:p>
      <w:pPr>
        <w:jc w:val="left"/>
      </w:pPr>
      <w:r>
        <w:t xml:space="preserve">CryptoFutureMax.io bewarb gegenüber Frau Wittfeldt und offensichtlich weiteren Anlegern einen sog. </w:t>
      </w:r>
      <w:r>
        <w:rPr>
          <w:b/>
        </w:rPr>
        <w:t>„USDT Stablecoin Arbitrage Pool"</w:t>
      </w:r>
      <w:r>
        <w:t>. Kunden wurden aufgefordert, EUR-Beträge einzuzahlen, die angeblich in USDT (Tether) umgetauscht und in einem Arbitrage-Portfolio eingesetzt würden. Monatliche Renditen von 8–18 % wurden versprochen.</w:t>
      </w:r>
    </w:p>
    <w:p>
      <w:pPr>
        <w:pStyle w:val="Heading3"/>
      </w:pPr>
      <w:r>
        <w:rPr>
          <w:rFonts w:ascii="Times New Roman" w:hAnsi="Times New Roman"/>
        </w:rPr>
        <w:t>2. Rechtliche Einordnung unter MiCA (VO (EU) 2023/1114)</w:t>
      </w:r>
    </w:p>
    <w:p>
      <w:pPr>
        <w:jc w:val="left"/>
      </w:pPr>
      <w:r>
        <w:t>Die Verordnung (EU) 2023/1114 über Märkte für Kryptowerte (MiCA) ist seit dem 30.12.2024 vollständig in Kraft und ersetzt insoweit das nationale KWG-Regime für Kryptowerte.</w:t>
      </w:r>
    </w:p>
    <w:p>
      <w:pPr>
        <w:jc w:val="left"/>
      </w:pPr>
      <w:r>
        <w:rPr>
          <w:b/>
        </w:rPr>
        <w:t>a) USDT als E-Money-Token (Art. 3 Abs. 1 Nr. 7 MiCA):</w:t>
      </w:r>
    </w:p>
    <w:p>
      <w:pPr>
        <w:jc w:val="left"/>
      </w:pPr>
      <w:r>
        <w:t xml:space="preserve">USDT (Tether USD) ist ein an den US-Dollar gekoppelter Stablecoin. Nach Art. 3 Abs. 1 Nr. 7 MiCA ist ein </w:t>
      </w:r>
      <w:r>
        <w:rPr>
          <w:b/>
        </w:rPr>
        <w:t>E-Money-Token (EMT)</w:t>
      </w:r>
      <w:r>
        <w:t xml:space="preserve"> ein Kryptowert, der seinen stabilen Wert durch Bezug auf eine einzige Fiatwährung aufrechterhalten soll. USDT erfüllt diese Definition. Tether Operations Limited verfügt über eine von der BaFin anerkannte MiCA-Zulassung (Notifizierung über Malta MFSA; in Bearbeitung).</w:t>
      </w:r>
    </w:p>
    <w:p>
      <w:pPr>
        <w:jc w:val="left"/>
      </w:pPr>
      <w:r>
        <w:rPr>
          <w:b/>
        </w:rPr>
        <w:t>b) CryptoFutureMax als nicht zugelassener Emittent / Dienstleister:</w:t>
      </w:r>
    </w:p>
    <w:p>
      <w:pPr>
        <w:jc w:val="left"/>
      </w:pPr>
      <w:r>
        <w:t>CryptoFutureMax.io tritt auf, als würde sie USDT-basierte Pools anbieten. Sie ist aber weder:</w:t>
      </w:r>
    </w:p>
    <w:p>
      <w:pPr>
        <w:pStyle w:val="ListBullet"/>
      </w:pPr>
      <w:r>
        <w:t xml:space="preserve">ein zugelassener </w:t>
      </w:r>
      <w:r>
        <w:rPr>
          <w:b/>
        </w:rPr>
        <w:t>Kryptowertedienstleister (CASP)</w:t>
      </w:r>
      <w:r>
        <w:t xml:space="preserve"> i.S.d. Art. 59 MiCA (keine Zulassung bei einer EU-Aufsichtsbehörde), noch</w:t>
      </w:r>
    </w:p>
    <w:p>
      <w:pPr>
        <w:pStyle w:val="ListBullet"/>
      </w:pPr>
      <w:r>
        <w:t xml:space="preserve">ein zugelassener </w:t>
      </w:r>
      <w:r>
        <w:rPr>
          <w:b/>
        </w:rPr>
        <w:t>EMT-Emittent</w:t>
      </w:r>
      <w:r>
        <w:t xml:space="preserve"> i.S.d. Art. 48 ff. MiCA.</w:t>
      </w:r>
    </w:p>
    <w:p>
      <w:pPr>
        <w:jc w:val="left"/>
      </w:pPr>
      <w:r>
        <w:t>Jede Person, die Kryptowertedienstleistungen in der EU erbringt, ohne die erforderliche Zulassung nach Art. 59 MiCA zu besitzen, handelt illegal (Art. 59 Abs. 1 MiCA: Zulassungspflicht).</w:t>
      </w:r>
    </w:p>
    <w:p>
      <w:pPr>
        <w:jc w:val="left"/>
      </w:pPr>
      <w:r>
        <w:rPr>
          <w:b/>
        </w:rPr>
        <w:t>c) Sondertatbestand Art. 16 MiCA – Asset-Referenced Tokens:</w:t>
      </w:r>
    </w:p>
    <w:p>
      <w:pPr>
        <w:jc w:val="left"/>
      </w:pPr>
      <w:r>
        <w:t xml:space="preserve">Sollte das Portfolio tatsächlich (oder vorgeblich) mehrere Kryptowerte und/oder Fiatwährungen umfassen (der angebliche BTC-Anteil von 22 % deutet darauf hin), käme auch die Kategorie des </w:t>
      </w:r>
      <w:r>
        <w:rPr>
          <w:b/>
        </w:rPr>
        <w:t>Asset-Referenced Token (ART)</w:t>
      </w:r>
      <w:r>
        <w:t xml:space="preserve"> nach Art. 3 Abs. 1 Nr. 6 MiCA in Betracht. ARTs unterliegen nach Art. 16 MiCA einer noch strengeren Zulassungspflicht, die die ausdrückliche Genehmigung der nationalen Aufsichtsbehörde erfordert. Ohne diese Genehmigung ist jedes Angebot von ARTs verboten.</w:t>
      </w:r>
    </w:p>
    <w:p>
      <w:pPr>
        <w:jc w:val="left"/>
      </w:pPr>
      <w:r>
        <w:rPr>
          <w:b/>
        </w:rPr>
        <w:t>d) Werbeversprechen als Verstoß gegen Art. 7 MiCA:</w:t>
      </w:r>
    </w:p>
    <w:p>
      <w:pPr>
        <w:jc w:val="left"/>
      </w:pPr>
      <w:r>
        <w:t>Die Bewerbung mit Renditen von „8–18 % p.m." über manipulierte Dashboards und Marketing-E-Mails verstößt gegen Art. 7 MiCA (Verpflichtung zu fairen, klaren und nicht irreführenden Informationen und Marketing).</w:t>
      </w:r>
    </w:p>
    <w:p/>
    <w:p>
      <w:pPr>
        <w:pStyle w:val="Heading2"/>
      </w:pPr>
      <w:r>
        <w:rPr>
          <w:rFonts w:ascii="Times New Roman" w:hAnsi="Times New Roman"/>
        </w:rPr>
        <w:t>III. Verdacht: Unerlaubtes Einlagengeschäft (§§ 1 Abs. 1 Nr. 1, 32 KWG)</w:t>
      </w:r>
    </w:p>
    <w:p>
      <w:pPr>
        <w:jc w:val="left"/>
      </w:pPr>
      <w:r>
        <w:t>Unabhängig von MiCA ist das Entgegennehmen von EUR-Beträgen mit Rückzahlungsversprechen ein Einlagengeschäft nach § 1 Abs. 1 Satz 2 Nr. 1 KWG, das einer Erlaubnis der BaFin nach § 32 KWG bedarf. Eine solche Erlaubnis für CryptoFutureMax.io ist im öffentlichen BaFin-Register nicht ersichtlich. Der Betrieb ohne Erlaubnis ist nach § 54 KWG strafbar.</w:t>
      </w:r>
    </w:p>
    <w:p/>
    <w:p>
      <w:pPr>
        <w:pStyle w:val="Heading2"/>
      </w:pPr>
      <w:r>
        <w:rPr>
          <w:rFonts w:ascii="Times New Roman" w:hAnsi="Times New Roman"/>
        </w:rPr>
        <w:t>IV. Anträge</w:t>
      </w:r>
    </w:p>
    <w:p>
      <w:pPr>
        <w:jc w:val="left"/>
      </w:pPr>
      <w:r>
        <w:t>Wir bitten die BaFin um:</w:t>
      </w:r>
    </w:p>
    <w:p>
      <w:pPr>
        <w:pStyle w:val="ListNumber"/>
      </w:pPr>
      <w:r>
        <w:rPr>
          <w:b/>
        </w:rPr>
        <w:t>Sofortige Aufnahme von Ermittlungen</w:t>
      </w:r>
      <w:r>
        <w:t xml:space="preserve"> gegen die Betreiber von CryptoFutureMax.io wegen Verdachts des Verstoßes gegen Art. 59 MiCA, Art. 16 MiCA und § 32 KWG.</w:t>
      </w:r>
    </w:p>
    <w:p>
      <w:pPr>
        <w:pStyle w:val="ListNumber"/>
      </w:pPr>
      <w:r>
        <w:rPr>
          <w:b/>
        </w:rPr>
        <w:t>Erlass einer Allgemeinverfügung</w:t>
      </w:r>
      <w:r>
        <w:t xml:space="preserve"> nach § 4 FinDAG / Art. 94 MiCA zur öffentlichen Warnung vor CryptoFutureMax.io und Aufforderung zur Einstellung des Betriebs.</w:t>
      </w:r>
    </w:p>
    <w:p>
      <w:pPr>
        <w:pStyle w:val="ListNumber"/>
      </w:pPr>
      <w:r>
        <w:rPr>
          <w:b/>
        </w:rPr>
        <w:t>Koordination mit europäischen Aufsichtsbehörden</w:t>
      </w:r>
      <w:r>
        <w:t xml:space="preserve"> (ESMA, CySEC – Zypern, FCA – Großbritannien, Malta MFSA) zur Rückverfolgung der Betreiber und Sicherung der Anlegergelder.</w:t>
      </w:r>
    </w:p>
    <w:p>
      <w:pPr>
        <w:pStyle w:val="ListNumber"/>
      </w:pPr>
      <w:r>
        <w:rPr>
          <w:b/>
        </w:rPr>
        <w:t>Mitteilung an unsere Kanzlei</w:t>
      </w:r>
      <w:r>
        <w:t>, ob die BaFin das Verfahren aufnimmt, damit wir dies im laufenden Zivilverfahren verwerten können.</w:t>
      </w:r>
    </w:p>
    <w:p/>
    <w:p>
      <w:pPr>
        <w:pStyle w:val="Heading2"/>
      </w:pPr>
      <w:r>
        <w:rPr>
          <w:rFonts w:ascii="Times New Roman" w:hAnsi="Times New Roman"/>
        </w:rPr>
        <w:t>V. Beweismittel (als Anlage beigefügt)</w:t>
      </w:r>
    </w:p>
    <w:p>
      <w:pPr>
        <w:pStyle w:val="ListNumber"/>
      </w:pPr>
      <w:r>
        <w:t>Kopie Strafanzeige ZD 3001 UJs 8841/26.</w:t>
      </w:r>
    </w:p>
    <w:p>
      <w:pPr>
        <w:pStyle w:val="ListNumber"/>
      </w:pPr>
      <w:r>
        <w:t>E-Mail-Ausdrucke (Bewerbung USDT Stablecoin Arbitrage Pool).</w:t>
      </w:r>
    </w:p>
    <w:p>
      <w:pPr>
        <w:pStyle w:val="ListNumber"/>
      </w:pPr>
      <w:r>
        <w:t>Dashboard-Screenshot (Portfoliostruktur USDT + BTC).</w:t>
      </w:r>
    </w:p>
    <w:p>
      <w:pPr>
        <w:pStyle w:val="ListNumber"/>
      </w:pPr>
      <w:r>
        <w:t>WHOIS-Abfrage cryptofuturemax.io.</w:t>
      </w:r>
    </w:p>
    <w:p>
      <w:pPr>
        <w:pStyle w:val="ListNumber"/>
      </w:pPr>
      <w:r>
        <w:t>Kontoauszüge (sieben Überweisungen, Gesamtschaden 387.420 EUR).</w:t>
      </w:r>
    </w:p>
    <w:p/>
    <w:p>
      <w:pPr>
        <w:jc w:val="left"/>
      </w:pPr>
      <w:r>
        <w:rPr>
          <w:b/>
        </w:rPr>
        <w:t>Bremen, 14. April 2026</w:t>
      </w:r>
    </w:p>
    <w:p>
      <w:pPr>
        <w:jc w:val="left"/>
      </w:pPr>
      <w:r>
        <w:rPr>
          <w:b/>
        </w:rPr>
        <w:t>Rechtsanwalt Dr. Severin Pflüger</w:t>
      </w:r>
    </w:p>
    <w:p>
      <w:pPr>
        <w:jc w:val="left"/>
      </w:pPr>
      <w:r>
        <w:t>Fachanwalt für Bank- und Kapitalmarktrecht</w:t>
      </w:r>
    </w:p>
    <w:p>
      <w:pPr>
        <w:jc w:val="left"/>
      </w:pPr>
      <w:r>
        <w:t>Kanzlei Pflüger Schoeneberg Bankrecht</w:t>
      </w:r>
    </w:p>
    <w:p/>
    <w:p>
      <w:pPr>
        <w:jc w:val="left"/>
      </w:pPr>
      <w:r>
        <w:rPr>
          <w:i/>
        </w:rPr>
        <w:t>Rechtliche Grundlagen: VO (EU) 2023/1114 (MiCA), insb. Art. 3, 7, 16, 48, 59; §§ 1, 32, 54 KWG; § 4 FinDAG; Art. 94 MiCA (Aufsichtsmaßnahmen)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BaFin-Anzeige: MiCA / Stablecoin-Verstoß durch CryptoFutureMax.io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BaFin-Anzeige: MiCA / Stablecoin-Verstoß durch CryptoFutureMax.io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