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Klageentwurf – LG Frankfurt a.M. ./. Trustless Banking S.A. (EAPO + Hauptklage)</w:t>
      </w:r>
    </w:p>
    <w:p>
      <w:pPr>
        <w:jc w:val="left"/>
      </w:pPr>
      <w:r>
        <w:rPr>
          <w:b/>
        </w:rPr>
        <w:t>Gerichtsstand:</w:t>
      </w:r>
      <w:r>
        <w:t xml:space="preserve"> Landgericht Frankfurt am Main (zuständig kraft Sitzort Empfängerbank im EU-Ausland; Frankfurt als internationales Finanzzentrum; Art. 6 Abs. 1 VO (EU) 655/2014)</w:t>
      </w:r>
    </w:p>
    <w:p/>
    <w:p>
      <w:pPr>
        <w:jc w:val="left"/>
      </w:pPr>
      <w:r>
        <w:rPr>
          <w:b/>
        </w:rPr>
        <w:t>An das</w:t>
      </w:r>
    </w:p>
    <w:p>
      <w:pPr>
        <w:jc w:val="left"/>
      </w:pPr>
      <w:r>
        <w:rPr>
          <w:b/>
        </w:rPr>
        <w:t>Landgericht Frankfurt am Main</w:t>
      </w:r>
    </w:p>
    <w:p>
      <w:pPr>
        <w:jc w:val="left"/>
      </w:pPr>
      <w:r>
        <w:rPr>
          <w:b/>
        </w:rPr>
        <w:t>– Internationale Handelskammer –</w:t>
      </w:r>
    </w:p>
    <w:p>
      <w:pPr>
        <w:jc w:val="left"/>
      </w:pPr>
      <w:r>
        <w:t>Gerichtsstraße 2</w:t>
      </w:r>
    </w:p>
    <w:p>
      <w:pPr>
        <w:jc w:val="left"/>
      </w:pPr>
      <w:r>
        <w:t>60313 Frankfurt am Main</w:t>
      </w:r>
    </w:p>
    <w:p>
      <w:pPr>
        <w:jc w:val="left"/>
      </w:pPr>
      <w:r>
        <w:rPr>
          <w:b/>
        </w:rPr>
        <w:t>Klägerin:</w:t>
      </w:r>
    </w:p>
    <w:p>
      <w:pPr>
        <w:jc w:val="left"/>
      </w:pPr>
      <w:r>
        <w:t>Eva-Maria Wittfeldt, geb. 14.03.1962, Kiefernstraße 17, 28757 Bremen</w:t>
      </w:r>
    </w:p>
    <w:p>
      <w:pPr>
        <w:jc w:val="left"/>
      </w:pPr>
      <w:r>
        <w:t>– Klägerin –</w:t>
      </w:r>
    </w:p>
    <w:p>
      <w:pPr>
        <w:jc w:val="left"/>
      </w:pPr>
      <w:r>
        <w:t>vertreten durch: RA Dr. Severin Pflüger, Kanzlei Pflüger Schoeneberg Bankrecht, Bremen</w:t>
      </w:r>
    </w:p>
    <w:p>
      <w:pPr>
        <w:jc w:val="left"/>
      </w:pPr>
      <w:r>
        <w:rPr>
          <w:b/>
        </w:rPr>
        <w:t>Beklagte:</w:t>
      </w:r>
    </w:p>
    <w:p>
      <w:pPr>
        <w:jc w:val="left"/>
      </w:pPr>
      <w:r>
        <w:t>Trustless Banking S.A.</w:t>
      </w:r>
    </w:p>
    <w:p>
      <w:pPr>
        <w:jc w:val="left"/>
      </w:pPr>
      <w:r>
        <w:t>Tallinn, Estland (EU-Mitgliedstaat)</w:t>
      </w:r>
    </w:p>
    <w:p>
      <w:pPr>
        <w:jc w:val="left"/>
      </w:pPr>
      <w:r>
        <w:t>Zustelladresse: [wird nach EAPO-Verfahren ergänzt]</w:t>
      </w:r>
    </w:p>
    <w:p>
      <w:pPr>
        <w:jc w:val="left"/>
      </w:pPr>
      <w:r>
        <w:t>– Beklagte –</w:t>
      </w:r>
    </w:p>
    <w:p/>
    <w:p>
      <w:pPr>
        <w:pStyle w:val="Heading2"/>
      </w:pPr>
      <w:r>
        <w:rPr>
          <w:rFonts w:ascii="Times New Roman" w:hAnsi="Times New Roman"/>
        </w:rPr>
        <w:t>KLAGE</w:t>
      </w:r>
    </w:p>
    <w:p>
      <w:pPr>
        <w:pStyle w:val="Heading3"/>
      </w:pPr>
      <w:r>
        <w:rPr>
          <w:rFonts w:ascii="Times New Roman" w:hAnsi="Times New Roman"/>
        </w:rPr>
        <w:t>(Entwurf, Stand 30.04.2026)</w:t>
      </w:r>
    </w:p>
    <w:p/>
    <w:p>
      <w:pPr>
        <w:pStyle w:val="Heading2"/>
      </w:pPr>
      <w:r>
        <w:rPr>
          <w:rFonts w:ascii="Times New Roman" w:hAnsi="Times New Roman"/>
        </w:rPr>
        <w:t>I. Anträge</w:t>
      </w:r>
    </w:p>
    <w:p>
      <w:pPr>
        <w:jc w:val="left"/>
      </w:pPr>
      <w:r>
        <w:rPr>
          <w:b/>
        </w:rPr>
        <w:t>Hauptantrag:</w:t>
      </w:r>
    </w:p>
    <w:p>
      <w:pPr>
        <w:pStyle w:val="ListNumber"/>
      </w:pPr>
      <w:r>
        <w:t xml:space="preserve">Die Beklagte wird verurteilt, an die Klägerin </w:t>
      </w:r>
      <w:r>
        <w:rPr>
          <w:b/>
        </w:rPr>
        <w:t>140.420,00 EUR</w:t>
      </w:r>
      <w:r>
        <w:t xml:space="preserve"> nebst Zinsen in Höhe von 5 Prozentpunkten über dem Basiszinssatz seit den jeweiligen Überweisungsdaten (14.10.2024, 24.01.2025, 11.02.2025) zu zahlen.</w:t>
      </w:r>
    </w:p>
    <w:p>
      <w:pPr>
        <w:pStyle w:val="ListNumber"/>
      </w:pPr>
      <w:r>
        <w:t>Die Beklagte trägt die Kosten des Rechtsstreits.</w:t>
      </w:r>
    </w:p>
    <w:p>
      <w:pPr>
        <w:jc w:val="left"/>
      </w:pPr>
      <w:r>
        <w:rPr>
          <w:b/>
        </w:rPr>
        <w:t>Hilfsantrag (EAPO):</w:t>
      </w:r>
    </w:p>
    <w:p>
      <w:pPr>
        <w:jc w:val="left"/>
      </w:pPr>
      <w:r>
        <w:t xml:space="preserve">Es wird ein </w:t>
      </w:r>
      <w:r>
        <w:rPr>
          <w:b/>
        </w:rPr>
        <w:t>Europäischer Kontenpfändungsbeschluss (EAPO)</w:t>
      </w:r>
      <w:r>
        <w:t xml:space="preserve"> nach VO (EU) Nr. 655/2014 erlassen, mit dem die Konten der Beklagten Trustless Banking S.A. mit einem Betrag von 140.420,00 EUR vorläufig gesichert werden.</w:t>
      </w:r>
    </w:p>
    <w:p/>
    <w:p>
      <w:pPr>
        <w:pStyle w:val="Heading2"/>
      </w:pPr>
      <w:r>
        <w:rPr>
          <w:rFonts w:ascii="Times New Roman" w:hAnsi="Times New Roman"/>
        </w:rPr>
        <w:t>II. Streitwert</w:t>
      </w:r>
    </w:p>
    <w:p>
      <w:pPr>
        <w:jc w:val="left"/>
      </w:pPr>
      <w:r>
        <w:t>140.420,00 EUR</w:t>
      </w:r>
    </w:p>
    <w:p/>
    <w:p>
      <w:pPr>
        <w:pStyle w:val="Heading2"/>
      </w:pPr>
      <w:r>
        <w:rPr>
          <w:rFonts w:ascii="Times New Roman" w:hAnsi="Times New Roman"/>
        </w:rPr>
        <w:t>III. Sachverhalt</w:t>
      </w:r>
    </w:p>
    <w:p>
      <w:pPr>
        <w:pStyle w:val="Heading3"/>
      </w:pPr>
      <w:r>
        <w:rPr>
          <w:rFonts w:ascii="Times New Roman" w:hAnsi="Times New Roman"/>
        </w:rPr>
        <w:t>1. Die Parteien</w:t>
      </w:r>
    </w:p>
    <w:p>
      <w:pPr>
        <w:jc w:val="left"/>
      </w:pPr>
      <w:r>
        <w:t>Die Klägerin ist Opfer eines Cybertrading-Betruges (→ vollständige Sachverhaltsdarstellung wie Aktenstück 16; wird nicht wiederholt). Die Beklagte, Trustless Banking S.A. mit Sitz in Tallinn, Estland, ist ein EU-Zahlungsdienstleister, auf dessen Konten drei der sieben betrügerischen Überweisungen eingingen:</w:t>
      </w:r>
    </w:p>
    <w:tbl>
      <w:tblPr>
        <w:tblStyle w:val="TableGrid"/>
        <w:tblW w:type="auto" w:w="0"/>
        <w:tblLook w:firstColumn="1" w:firstRow="1" w:lastColumn="0" w:lastRow="0" w:noHBand="0" w:noVBand="1" w:val="04A0"/>
      </w:tblPr>
      <w:tblGrid>
        <w:gridCol w:w="3024"/>
        <w:gridCol w:w="3024"/>
        <w:gridCol w:w="3024"/>
      </w:tblGrid>
      <w:tr>
        <w:tc>
          <w:tcPr>
            <w:tcW w:type="dxa" w:w="3024"/>
          </w:tcPr>
          <w:p>
            <w:r>
              <w:rPr>
                <w:rFonts w:ascii="Times New Roman" w:hAnsi="Times New Roman"/>
                <w:b/>
                <w:sz w:val="20"/>
              </w:rPr>
              <w:t>Datum</w:t>
            </w:r>
          </w:p>
        </w:tc>
        <w:tc>
          <w:tcPr>
            <w:tcW w:type="dxa" w:w="3024"/>
          </w:tcPr>
          <w:p>
            <w:r>
              <w:rPr>
                <w:rFonts w:ascii="Times New Roman" w:hAnsi="Times New Roman"/>
                <w:b/>
                <w:sz w:val="20"/>
              </w:rPr>
              <w:t>Betrag</w:t>
            </w:r>
          </w:p>
        </w:tc>
        <w:tc>
          <w:tcPr>
            <w:tcW w:type="dxa" w:w="3024"/>
          </w:tcPr>
          <w:p>
            <w:r>
              <w:rPr>
                <w:rFonts w:ascii="Times New Roman" w:hAnsi="Times New Roman"/>
                <w:b/>
                <w:sz w:val="20"/>
              </w:rPr>
              <w:t>IBAN</w:t>
            </w:r>
          </w:p>
        </w:tc>
      </w:tr>
      <w:tr>
        <w:tc>
          <w:tcPr>
            <w:tcW w:type="dxa" w:w="3024"/>
          </w:tcPr>
          <w:p>
            <w:r>
              <w:rPr>
                <w:rFonts w:ascii="Times New Roman" w:hAnsi="Times New Roman"/>
                <w:sz w:val="20"/>
              </w:rPr>
              <w:t>14.10.2024</w:t>
            </w:r>
          </w:p>
        </w:tc>
        <w:tc>
          <w:tcPr>
            <w:tcW w:type="dxa" w:w="3024"/>
          </w:tcPr>
          <w:p>
            <w:r>
              <w:rPr>
                <w:rFonts w:ascii="Times New Roman" w:hAnsi="Times New Roman"/>
                <w:sz w:val="20"/>
              </w:rPr>
              <w:t>42.000,00 EUR</w:t>
            </w:r>
          </w:p>
        </w:tc>
        <w:tc>
          <w:tcPr>
            <w:tcW w:type="dxa" w:w="3024"/>
          </w:tcPr>
          <w:p>
            <w:r>
              <w:rPr>
                <w:rFonts w:ascii="Times New Roman" w:hAnsi="Times New Roman"/>
                <w:sz w:val="20"/>
              </w:rPr>
              <w:t>EE38 2200 2210 8847 3801</w:t>
            </w:r>
          </w:p>
        </w:tc>
      </w:tr>
      <w:tr>
        <w:tc>
          <w:tcPr>
            <w:tcW w:type="dxa" w:w="3024"/>
          </w:tcPr>
          <w:p>
            <w:r>
              <w:rPr>
                <w:rFonts w:ascii="Times New Roman" w:hAnsi="Times New Roman"/>
                <w:sz w:val="20"/>
              </w:rPr>
              <w:t>24.01.2025</w:t>
            </w:r>
          </w:p>
        </w:tc>
        <w:tc>
          <w:tcPr>
            <w:tcW w:type="dxa" w:w="3024"/>
          </w:tcPr>
          <w:p>
            <w:r>
              <w:rPr>
                <w:rFonts w:ascii="Times New Roman" w:hAnsi="Times New Roman"/>
                <w:sz w:val="20"/>
              </w:rPr>
              <w:t>51.000,00 EUR</w:t>
            </w:r>
          </w:p>
        </w:tc>
        <w:tc>
          <w:tcPr>
            <w:tcW w:type="dxa" w:w="3024"/>
          </w:tcPr>
          <w:p>
            <w:r>
              <w:rPr>
                <w:rFonts w:ascii="Times New Roman" w:hAnsi="Times New Roman"/>
                <w:sz w:val="20"/>
              </w:rPr>
              <w:t>EE38 2200 2210 8847 3802</w:t>
            </w:r>
          </w:p>
        </w:tc>
      </w:tr>
      <w:tr>
        <w:tc>
          <w:tcPr>
            <w:tcW w:type="dxa" w:w="3024"/>
          </w:tcPr>
          <w:p>
            <w:r>
              <w:rPr>
                <w:rFonts w:ascii="Times New Roman" w:hAnsi="Times New Roman"/>
                <w:sz w:val="20"/>
              </w:rPr>
              <w:t>11.02.2025</w:t>
            </w:r>
          </w:p>
        </w:tc>
        <w:tc>
          <w:tcPr>
            <w:tcW w:type="dxa" w:w="3024"/>
          </w:tcPr>
          <w:p>
            <w:r>
              <w:rPr>
                <w:rFonts w:ascii="Times New Roman" w:hAnsi="Times New Roman"/>
                <w:sz w:val="20"/>
              </w:rPr>
              <w:t>47.420,00 EUR</w:t>
            </w:r>
          </w:p>
        </w:tc>
        <w:tc>
          <w:tcPr>
            <w:tcW w:type="dxa" w:w="3024"/>
          </w:tcPr>
          <w:p>
            <w:r>
              <w:rPr>
                <w:rFonts w:ascii="Times New Roman" w:hAnsi="Times New Roman"/>
                <w:sz w:val="20"/>
              </w:rPr>
              <w:t>EE38 2200 2210 8847 3803</w:t>
            </w:r>
          </w:p>
        </w:tc>
      </w:tr>
      <w:tr>
        <w:tc>
          <w:tcPr>
            <w:tcW w:type="dxa" w:w="3024"/>
          </w:tcPr>
          <w:p>
            <w:r>
              <w:rPr>
                <w:rFonts w:ascii="Times New Roman" w:hAnsi="Times New Roman"/>
                <w:b/>
                <w:sz w:val="20"/>
              </w:rPr>
              <w:t>Gesamt</w:t>
            </w:r>
          </w:p>
        </w:tc>
        <w:tc>
          <w:tcPr>
            <w:tcW w:type="dxa" w:w="3024"/>
          </w:tcPr>
          <w:p>
            <w:r>
              <w:rPr>
                <w:rFonts w:ascii="Times New Roman" w:hAnsi="Times New Roman"/>
                <w:b/>
                <w:sz w:val="20"/>
              </w:rPr>
              <w:t>140.420,00 EUR</w:t>
            </w:r>
          </w:p>
        </w:tc>
        <w:tc>
          <w:tcPr>
            <w:tcW w:type="dxa" w:w="3024"/>
          </w:tcPr>
          <w:p/>
        </w:tc>
      </w:tr>
    </w:tbl>
    <w:p>
      <w:pPr>
        <w:pStyle w:val="Heading3"/>
      </w:pPr>
      <w:r>
        <w:rPr>
          <w:rFonts w:ascii="Times New Roman" w:hAnsi="Times New Roman"/>
        </w:rPr>
        <w:t>2. Bösgläubigkeit der Beklagten</w:t>
      </w:r>
    </w:p>
    <w:p>
      <w:pPr>
        <w:jc w:val="left"/>
      </w:pPr>
      <w:r>
        <w:t xml:space="preserve">Die Beklagte ist als EU-lizenzierter Zahlungsdienstleister nach 4AMLD / 5AMLD (umgesetzt durch das estnische Rahbi seadus) zur Durchführung einer </w:t>
      </w:r>
      <w:r>
        <w:rPr>
          <w:b/>
        </w:rPr>
        <w:t>Customer Due Diligence (CDD)</w:t>
      </w:r>
      <w:r>
        <w:t xml:space="preserve"> und zur laufenden Transaktionsüberwachung verpflichtet.</w:t>
      </w:r>
    </w:p>
    <w:p>
      <w:pPr>
        <w:jc w:val="left"/>
      </w:pPr>
      <w:r>
        <w:t>Es ist höchst wahrscheinlich (und durch das laufende Ermittlungsverfahren zu verifizieren), dass:</w:t>
      </w:r>
    </w:p>
    <w:p>
      <w:pPr>
        <w:jc w:val="left"/>
      </w:pPr>
      <w:r>
        <w:t>a) Die Konten EE38 2200 2210 8847 3801 bis 3803 unter falschen oder Alias-Identitäten eröffnet wurden.</w:t>
      </w:r>
    </w:p>
    <w:p>
      <w:pPr>
        <w:jc w:val="left"/>
      </w:pPr>
      <w:r>
        <w:t>b) Die eingehenden Beträge unmittelbar nach Eingang weitertransferiert wurden (Durchlauf-Konten, typisch für Money-Mule-Strukturen).</w:t>
      </w:r>
    </w:p>
    <w:p>
      <w:pPr>
        <w:jc w:val="left"/>
      </w:pPr>
      <w:r>
        <w:t>c) Trustless Banking S.A. trotz erkennbarer AML-Merkmale keine Verdachtsmeldung an die FIU Estland erstattet hat.</w:t>
      </w:r>
    </w:p>
    <w:p>
      <w:pPr>
        <w:jc w:val="left"/>
      </w:pPr>
      <w:r>
        <w:t>Sofern die Beklagte die Herkunft der Gelder kannte oder bei pflichtgemäßer Sorgfalt hätte kennen können, haftet sie nach § 826 BGB (sittenwidrige Schädigung) und Art. 1382 Code Civil (estn. Recht; alternativ zu prüfen) sowie aus ungerechtfertigter Bereicherung (§ 812 BGB / estn. VÕS § 1028 ff.).</w:t>
      </w:r>
    </w:p>
    <w:p>
      <w:pPr>
        <w:pStyle w:val="Heading3"/>
      </w:pPr>
      <w:r>
        <w:rPr>
          <w:rFonts w:ascii="Times New Roman" w:hAnsi="Times New Roman"/>
        </w:rPr>
        <w:t>3. Gerichtsstand</w:t>
      </w:r>
    </w:p>
    <w:p>
      <w:pPr>
        <w:jc w:val="left"/>
      </w:pPr>
      <w:r>
        <w:t xml:space="preserve">Gemäß Art. 4 Abs. 1 i.V.m. Art. 63 VO (EU) 1215/2012 (EuGVVO) ist grundsätzlich das Gericht am Sitz der Beklagten (Tallinn) zuständig. </w:t>
      </w:r>
      <w:r>
        <w:rPr>
          <w:b/>
        </w:rPr>
        <w:t>Alternativzuständigkeit</w:t>
      </w:r>
      <w:r>
        <w:t xml:space="preserve"> besteht jedoch:</w:t>
      </w:r>
    </w:p>
    <w:p>
      <w:pPr>
        <w:pStyle w:val="ListBullet"/>
      </w:pPr>
      <w:r>
        <w:t>Gem. Art. 7 Nr. 2 EuGVVO am Ort des schädigenden Ereignisses (Bremen, Deutschland) → LG Bremen möglich.</w:t>
      </w:r>
    </w:p>
    <w:p>
      <w:pPr>
        <w:pStyle w:val="ListBullet"/>
      </w:pPr>
      <w:r>
        <w:t>Gem. Art. 6 VO (EU) 655/2014 (EAPO) am Wohnsitzgericht der Klägerin (Bremen / LG Bremen).</w:t>
      </w:r>
    </w:p>
    <w:p>
      <w:pPr>
        <w:jc w:val="left"/>
      </w:pPr>
      <w:r>
        <w:rPr>
          <w:b/>
        </w:rPr>
        <w:t>Entscheidung:</w:t>
      </w:r>
      <w:r>
        <w:t xml:space="preserve"> Der Klageentwurf ist auf das LG Frankfurt ausgerichtet, da dort internationale Handelskammern mit Erfahrung in EU-grenzüberschreitenden Bankrechtsstreitigkeiten bestehen. Der endgültige Gerichtsstand wird nach anwaltlicher Rücksprache mit einer estnischen Korrespondenzanwältin (Kanzlei Lepik &amp; Luhaäär, Tallinn) festgelegt.</w:t>
      </w:r>
    </w:p>
    <w:p/>
    <w:p>
      <w:pPr>
        <w:pStyle w:val="Heading2"/>
      </w:pPr>
      <w:r>
        <w:rPr>
          <w:rFonts w:ascii="Times New Roman" w:hAnsi="Times New Roman"/>
        </w:rPr>
        <w:t>IV. Rechtliche Ausführungen</w:t>
      </w:r>
    </w:p>
    <w:p>
      <w:pPr>
        <w:pStyle w:val="Heading3"/>
      </w:pPr>
      <w:r>
        <w:rPr>
          <w:rFonts w:ascii="Times New Roman" w:hAnsi="Times New Roman"/>
        </w:rPr>
        <w:t>1. Ungerechtfertigte Bereicherung (§ 812 BGB / estn. VÕS)</w:t>
      </w:r>
    </w:p>
    <w:p>
      <w:pPr>
        <w:jc w:val="left"/>
      </w:pPr>
      <w:r>
        <w:t>Die Gelder der Klägerin sind auf den Konten der Beklagten eingegangen. Da kein wirksamer Rechtsgrund für das Behaltendürfen besteht (die Überweisungen beruhten auf betrügerischer Veranlassung), schuldet die Beklagte grundsätzlich Rückzahlung.</w:t>
      </w:r>
    </w:p>
    <w:p>
      <w:pPr>
        <w:jc w:val="left"/>
      </w:pPr>
      <w:r>
        <w:rPr>
          <w:b/>
        </w:rPr>
        <w:t>Problem der Anweisungskette:</w:t>
      </w:r>
      <w:r>
        <w:t xml:space="preserve"> Wie in Aktenstück 09 dargestellt, ist ein Durchgriffsanspruch nach §§ 812 ff. BGB gegenüber der Empfängerbank grundsätzlich durch die Anweisungsstruktur gesperrt (BGH BGHZ 147, 145). Ausnahme bei Bösgläubigkeit der Empfängerbank (§ 819 BGB).</w:t>
      </w:r>
    </w:p>
    <w:p>
      <w:pPr>
        <w:jc w:val="left"/>
      </w:pPr>
      <w:r>
        <w:t>Die Bösgläubigkeit der Beklagten ist durch das Ermittlungsverfahren zu belegen; entsprechende Beweisangebote sind vorbehalten.</w:t>
      </w:r>
    </w:p>
    <w:p>
      <w:pPr>
        <w:pStyle w:val="Heading3"/>
      </w:pPr>
      <w:r>
        <w:rPr>
          <w:rFonts w:ascii="Times New Roman" w:hAnsi="Times New Roman"/>
        </w:rPr>
        <w:t>2. § 826 BGB – Sittenwidrige Schädigung</w:t>
      </w:r>
    </w:p>
    <w:p>
      <w:pPr>
        <w:jc w:val="left"/>
      </w:pPr>
      <w:r>
        <w:t>Sollte die Beklagte wissentlich als Geldwäsche-Durchlaufstation für Cybercrime-Täter agiert haben, kommt Schadensersatz aus § 826 BGB in Betracht. Arglistige Handlungen des Empfängers bei betrügerisch erlangten Überweisungen durchbrechen die Anweisungsstruktur und begründen einen unmittelbaren Anspruch des Zahlers.</w:t>
      </w:r>
    </w:p>
    <w:p>
      <w:pPr>
        <w:pStyle w:val="Heading3"/>
      </w:pPr>
      <w:r>
        <w:rPr>
          <w:rFonts w:ascii="Times New Roman" w:hAnsi="Times New Roman"/>
        </w:rPr>
        <w:t>3. EAPO-Antrag (VO (EU) Nr. 655/2014)</w:t>
      </w:r>
    </w:p>
    <w:p>
      <w:pPr>
        <w:jc w:val="left"/>
      </w:pPr>
      <w:r>
        <w:t>Da die Gefahr besteht, dass die Mittel auf den estnischen Konten bereits weitertransferiert wurden oder unmittelbar transferiert werden, ist ein EAPO zur vorläufigen Kontensicherung zu beantragen. Die Voraussetzungen:</w:t>
      </w:r>
    </w:p>
    <w:p>
      <w:pPr>
        <w:pStyle w:val="ListBullet"/>
      </w:pPr>
      <w:r>
        <w:rPr>
          <w:b/>
        </w:rPr>
        <w:t>Anspruch glaubhaft gemacht:</w:t>
      </w:r>
      <w:r>
        <w:t xml:space="preserve"> Kontoauszüge + Strafanzeige (vorhanden).</w:t>
      </w:r>
    </w:p>
    <w:p>
      <w:pPr>
        <w:pStyle w:val="ListBullet"/>
      </w:pPr>
      <w:r>
        <w:rPr>
          <w:b/>
        </w:rPr>
        <w:t>Dringlichkeit:</w:t>
      </w:r>
      <w:r>
        <w:t xml:space="preserve"> Ohne EAPO droht Verlust der Beweismittel und Vollstreckungsgegenstand.</w:t>
      </w:r>
    </w:p>
    <w:p>
      <w:pPr>
        <w:pStyle w:val="ListBullet"/>
      </w:pPr>
      <w:r>
        <w:rPr>
          <w:b/>
        </w:rPr>
        <w:t>Sicherheitsleistung:</w:t>
      </w:r>
      <w:r>
        <w:t xml:space="preserve"> Klägerin ist zur Leistung bereit (Höhe nach Gerichtsbeschluss).</w:t>
      </w:r>
    </w:p>
    <w:p/>
    <w:p>
      <w:pPr>
        <w:pStyle w:val="Heading2"/>
      </w:pPr>
      <w:r>
        <w:rPr>
          <w:rFonts w:ascii="Times New Roman" w:hAnsi="Times New Roman"/>
        </w:rPr>
        <w:t>V. Beweisangebote</w:t>
      </w:r>
    </w:p>
    <w:p>
      <w:pPr>
        <w:pStyle w:val="ListBullet"/>
      </w:pPr>
      <w:r>
        <w:t>Kontoauszüge (Überweisungen nach Estland, Anlage K1)</w:t>
      </w:r>
    </w:p>
    <w:p>
      <w:pPr>
        <w:pStyle w:val="ListBullet"/>
      </w:pPr>
      <w:r>
        <w:t>Strafanzeige ZD 3001 UJs 8841/26 (Anlage K2)</w:t>
      </w:r>
    </w:p>
    <w:p>
      <w:pPr>
        <w:pStyle w:val="ListBullet"/>
      </w:pPr>
      <w:r>
        <w:t>BaFin-Anzeige v. 14.04.2026 (Anlage K3)</w:t>
      </w:r>
    </w:p>
    <w:p>
      <w:pPr>
        <w:pStyle w:val="ListBullet"/>
      </w:pPr>
      <w:r>
        <w:t>WHOIS-Analyse cryptofuturemax.io (Anlage K4)</w:t>
      </w:r>
    </w:p>
    <w:p>
      <w:pPr>
        <w:pStyle w:val="ListBullet"/>
      </w:pPr>
      <w:r>
        <w:t>Rechtshilfeersuchen an FIU Estland (vorbehaltlich Ermittlungsergebnisse)</w:t>
      </w:r>
    </w:p>
    <w:p>
      <w:pPr>
        <w:pStyle w:val="ListBullet"/>
      </w:pPr>
      <w:r>
        <w:t>Sachverständigengutachten (AML-Compliance estnischer Zahlungsdienstleister)</w:t>
      </w:r>
    </w:p>
    <w:p>
      <w:pPr>
        <w:pStyle w:val="ListBullet"/>
      </w:pPr>
      <w:r>
        <w:t>Korrespondenzanwältin Estland: Lepik &amp; Luhaäär, Tallinn</w:t>
      </w:r>
    </w:p>
    <w:p/>
    <w:p>
      <w:pPr>
        <w:jc w:val="left"/>
      </w:pPr>
      <w:r>
        <w:rPr>
          <w:b/>
        </w:rPr>
        <w:t>Bremen, 30. April 2026</w:t>
      </w:r>
    </w:p>
    <w:p>
      <w:pPr>
        <w:jc w:val="left"/>
      </w:pPr>
      <w:r>
        <w:rPr>
          <w:b/>
        </w:rPr>
        <w:t>Rechtsanwalt Dr. Severin Pflüger</w:t>
      </w:r>
    </w:p>
    <w:p>
      <w:pPr>
        <w:jc w:val="left"/>
      </w:pPr>
      <w:r>
        <w:t>Fachanwalt für Bank- und Kapitalmarktrecht</w:t>
      </w:r>
    </w:p>
    <w:p>
      <w:pPr>
        <w:jc w:val="left"/>
      </w:pPr>
      <w:r>
        <w:rPr>
          <w:i/>
        </w:rPr>
        <w:t>(Entwurf – Abstimmung mit estnischer Korrespondenzanwältin ausstehend)</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Frankfurt</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Frankfurt</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