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Transferregister und VVT-Auszug</w:t>
      </w:r>
    </w:p>
    <w:p>
      <w:pPr>
        <w:jc w:val="left"/>
      </w:pPr>
      <w:r>
        <w:t>Organisation: RheinMain Präzisionstechnik GmbH</w:t>
      </w:r>
    </w:p>
    <w:p>
      <w:pPr>
        <w:jc w:val="left"/>
      </w:pPr>
      <w:r>
        <w:t>Verarbeitungstätigkeit: CRM, Support und Ersatzteilservice CloudSuite Assist</w:t>
      </w:r>
    </w:p>
    <w:p>
      <w:pPr>
        <w:jc w:val="left"/>
      </w:pPr>
      <w:r>
        <w:t>Stand: 18.05.2026</w:t>
      </w:r>
    </w:p>
    <w:p>
      <w:pPr>
        <w:pStyle w:val="Heading2"/>
      </w:pPr>
      <w:r>
        <w:rPr>
          <w:rFonts w:ascii="Times New Roman" w:hAnsi="Times New Roman"/>
        </w:rPr>
        <w:t>Verarbeitungstätigkeit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RheinMain Präzisionstechnik GmbH,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Fachbereich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Vertrieb, Customer Service, Ersatzteilmanagement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System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CloudSuite Assist, Modul CRM, TicketDesk, ReplyPilot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Kundenkommunikation, Supportbearbeitung, Ersatzteilkoordination, Antwortvorschläge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 Abs. 1 lit. b DSGVO bei Vertragskontakten; Art. 6 Abs. 1 lit. f DSGVO bei B2B-Ansprechpartnern und Serviceorganisation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Betroffene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Kundenkontakte, Lieferantenkontakte, Interessenten, gelegentlich interne Ansprechpartner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Datenarten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Kontaktdaten, Kommunikationsinhalte, Supporthistorie, Maschinenbezug, Ticketmetadaten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Löschfrist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Kontaktstammdaten 3 Jahre nach letztem Geschäftskontakt; Supporttickets 6 Jahre, soweit handels-/steuerrechtlich relevant; Telemetrie 180 Tage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CloudSuite Ireland Ltd., CloudSuite Assist Inc., MainRack GmbH, NorthPeak Analytics LLC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Drittlandtransfermatrix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Datenfluss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Drittlandbezug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Datenarten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Transferinstrument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2nd-Level-Support CloudSuite Assist Inc.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Zugriff aus USA auf EU-Tickets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Ticketinhalte, Kontaktdaten, Systemlogs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DPF + SCC Modul 2 Backup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Gelb, Scope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Telemetrie Virginia-Cluster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Übermittlung in USA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Loginmetadaten, Eventlogs, gekürzte IP nach 24h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SCC Modul 2 + TIA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ReplyPilot an NorthPeak Analytics LLC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Übermittlung in USA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Ticketauszug bis 2.000 Zeichen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SCC noch unvollständig, TIA erforderlich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 bis Nachtrag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Subprozessor TicketForge LLC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USA, nur Notfall-Wartung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Fehlerlog, Ticket-ID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DPF behauptet, Nachweis 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Gelb/Rot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Schutzbedarfsnotiz</w:t>
      </w:r>
    </w:p>
    <w:p>
      <w:pPr>
        <w:jc w:val="left"/>
      </w:pPr>
      <w:r>
        <w:t>Die regulären Daten sind überwiegend B2B-Kommunikationsdaten. Das Risiko steigt durch Freitextfelder, weil Kunden ungefragt private Informationen, Krankheitsangaben oder personenbezogene Eskalationsdetails mitteilen können. Deshalb muss der Transfer nicht nur nach Tabellenfeldern, sondern nach realistischen Ticketinhalten bewertet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RheinMain Präzisionstechnik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RheinMain Präzisionstechnik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