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06 — Kontaminationsthese: PowerNutrition GmbH, Charge 22-4188</w:t>
      </w:r>
    </w:p>
    <w:p>
      <w:pPr>
        <w:jc w:val="left"/>
      </w:pPr>
      <w:r>
        <w:rPr>
          <w:b/>
        </w:rPr>
        <w:t>Erstellt:</w:t>
      </w:r>
      <w:r>
        <w:t xml:space="preserve"> 12.03.2026</w:t>
      </w:r>
    </w:p>
    <w:p>
      <w:pPr>
        <w:jc w:val="left"/>
      </w:pPr>
      <w:r>
        <w:rPr>
          <w:b/>
        </w:rPr>
        <w:t>Bearbeiter:</w:t>
      </w:r>
      <w:r>
        <w:t xml:space="preserve"> RA Prof. Dr. Markus Lentze / RAin Sophie Wenderlich</w:t>
      </w:r>
    </w:p>
    <w:p>
      <w:pPr>
        <w:jc w:val="left"/>
      </w:pPr>
      <w:r>
        <w:rPr>
          <w:b/>
        </w:rPr>
        <w:t>AZ:</w:t>
      </w:r>
      <w:r>
        <w:t xml:space="preserve"> SU/DOPING/2026-001</w:t>
      </w:r>
    </w:p>
    <w:p/>
    <w:p>
      <w:pPr>
        <w:pStyle w:val="Heading2"/>
      </w:pPr>
      <w:r>
        <w:rPr>
          <w:rFonts w:ascii="Times New Roman" w:hAnsi="Times New Roman"/>
        </w:rPr>
        <w:t>1. Sachverhalt: Supplement-Nutzung</w:t>
      </w:r>
    </w:p>
    <w:p>
      <w:pPr>
        <w:pStyle w:val="Heading3"/>
      </w:pPr>
      <w:r>
        <w:rPr>
          <w:rFonts w:ascii="Times New Roman" w:hAnsi="Times New Roman"/>
        </w:rPr>
        <w:t>1.1 Das Produkt</w:t>
      </w:r>
    </w:p>
    <w:p>
      <w:pPr>
        <w:jc w:val="left"/>
      </w:pPr>
      <w:r>
        <w:rPr>
          <w:b/>
        </w:rPr>
        <w:t>Produkt:</w:t>
      </w:r>
      <w:r>
        <w:t xml:space="preserve"> RecoveryMax Pro</w:t>
      </w:r>
    </w:p>
    <w:p>
      <w:pPr>
        <w:jc w:val="left"/>
      </w:pPr>
      <w:r>
        <w:rPr>
          <w:b/>
        </w:rPr>
        <w:t>Hersteller:</w:t>
      </w:r>
      <w:r>
        <w:t xml:space="preserve"> PowerNutrition GmbH, Lindauer Straße 88, 87700 Memmingen</w:t>
      </w:r>
    </w:p>
    <w:p>
      <w:pPr>
        <w:jc w:val="left"/>
      </w:pPr>
      <w:r>
        <w:rPr>
          <w:b/>
        </w:rPr>
        <w:t>Charge:</w:t>
      </w:r>
      <w:r>
        <w:t xml:space="preserve"> 22-4188</w:t>
      </w:r>
    </w:p>
    <w:p>
      <w:pPr>
        <w:jc w:val="left"/>
      </w:pPr>
      <w:r>
        <w:rPr>
          <w:b/>
        </w:rPr>
        <w:t>Mindesthaltbarkeitsdatum:</w:t>
      </w:r>
      <w:r>
        <w:t xml:space="preserve"> 31.08.2026</w:t>
      </w:r>
    </w:p>
    <w:p>
      <w:pPr>
        <w:jc w:val="left"/>
      </w:pPr>
      <w:r>
        <w:rPr>
          <w:b/>
        </w:rPr>
        <w:t>Deklarierte Inhaltsstoffe:</w:t>
      </w:r>
      <w:r>
        <w:t xml:space="preserve"> L-Carnitin-L-Tartrat 1500 mg, Magnesiumcitrat 300 mg, Zink-Bisglycinat 25 mg, Coenzym Q10 100 mg, L-Glutamin 500 mg, B-Vitamin-Komplex; je 2 Kapseln täglich</w:t>
      </w:r>
    </w:p>
    <w:p>
      <w:pPr>
        <w:jc w:val="left"/>
      </w:pPr>
      <w:r>
        <w:rPr>
          <w:b/>
        </w:rPr>
        <w:t>Preis:</w:t>
      </w:r>
      <w:r>
        <w:t xml:space="preserve"> 49,90 EUR pro Dose (60 Kapseln, 30 Tage)</w:t>
      </w:r>
    </w:p>
    <w:p>
      <w:pPr>
        <w:jc w:val="left"/>
      </w:pPr>
      <w:r>
        <w:rPr>
          <w:b/>
        </w:rPr>
        <w:t>Einkaufskanal:</w:t>
      </w:r>
      <w:r>
        <w:t xml:space="preserve"> Online-Shop PowerNutrition GmbH (Direktbestellung), Bestelldatum: 15.10.2024</w:t>
      </w:r>
    </w:p>
    <w:p>
      <w:pPr>
        <w:jc w:val="left"/>
      </w:pPr>
      <w:r>
        <w:rPr>
          <w:b/>
        </w:rPr>
        <w:t>Empfohlen von:</w:t>
      </w:r>
      <w:r>
        <w:t xml:space="preserve"> Vereinstrainerin Barbara Ehrfeld</w:t>
      </w:r>
    </w:p>
    <w:p>
      <w:pPr>
        <w:pStyle w:val="Heading3"/>
      </w:pPr>
      <w:r>
        <w:rPr>
          <w:rFonts w:ascii="Times New Roman" w:hAnsi="Times New Roman"/>
        </w:rPr>
        <w:t>1.2 Einnahmehistorie</w:t>
      </w:r>
    </w:p>
    <w:p>
      <w:pPr>
        <w:pStyle w:val="ListBullet"/>
      </w:pPr>
      <w:r>
        <w:t>Beginn: 18.10.2024 (erste Dose, Charge unbekannt)</w:t>
      </w:r>
    </w:p>
    <w:p>
      <w:pPr>
        <w:pStyle w:val="ListBullet"/>
      </w:pPr>
      <w:r>
        <w:t>Fortführung: ab 15.12.2024 Dose 2, Charge 22-4188 (vorliegende Charge)</w:t>
      </w:r>
    </w:p>
    <w:p>
      <w:pPr>
        <w:pStyle w:val="ListBullet"/>
      </w:pPr>
      <w:r>
        <w:t>Einnahme: täglich 2 Kapseln morgens, gemeinsam mit Frühstück</w:t>
      </w:r>
    </w:p>
    <w:p>
      <w:pPr>
        <w:pStyle w:val="ListBullet"/>
      </w:pPr>
      <w:r>
        <w:t>Letzte Einnahme: 17.02.2026, abends (Abendessen)</w:t>
      </w:r>
    </w:p>
    <w:p>
      <w:pPr>
        <w:pStyle w:val="ListBullet"/>
      </w:pPr>
      <w:r>
        <w:t>Gesamtdauer der Einnahme aus Charge 22-4188: ca. 60 Tage (Dose 2 = 60 Kapseln/30 Tage; Dose 3 begonnen, 46 Kapseln verbraucht)</w:t>
      </w:r>
    </w:p>
    <w:p>
      <w:pPr>
        <w:jc w:val="left"/>
      </w:pPr>
      <w:r>
        <w:rPr>
          <w:b/>
        </w:rPr>
        <w:t>Sichergestellte Beweismittel:</w:t>
      </w:r>
      <w:r>
        <w:t xml:space="preserve"> 14 verbleibende Kapseln aus Charge 22-4188, sichergestellt am 07.03.2026; Versiegelung durch RAin Wenderlich, Lagerung im Kühlschrank der Kanzlei Stuttgart; Übergabe an Analyselabor LGC Standards GmbH Hamburg am 10.03.2026 (Übergabeprotokoll liegt vor).</w:t>
      </w:r>
    </w:p>
    <w:p/>
    <w:p>
      <w:pPr>
        <w:pStyle w:val="Heading2"/>
      </w:pPr>
      <w:r>
        <w:rPr>
          <w:rFonts w:ascii="Times New Roman" w:hAnsi="Times New Roman"/>
        </w:rPr>
        <w:t>2. Rechtlicher Rahmen: Art. 10.5 NADC</w:t>
      </w:r>
    </w:p>
    <w:p>
      <w:pPr>
        <w:pStyle w:val="Heading3"/>
      </w:pPr>
      <w:r>
        <w:rPr>
          <w:rFonts w:ascii="Times New Roman" w:hAnsi="Times New Roman"/>
        </w:rPr>
        <w:t>2.1 Art. 10.5.1 — Kein erhebliches Verschulden (No Significant Fault or Negligence)</w:t>
      </w:r>
    </w:p>
    <w:p>
      <w:pPr>
        <w:jc w:val="left"/>
      </w:pPr>
      <w:r>
        <w:t>Nach Art. 10.5.1 NADC ist die Sperre auf eine Dauer von mindestens 1 Jahr und maximal 2 Jahre zu reduzieren (bei nicht spezifizierter Substanz) oder auf null bis 2 Jahre (bei spezifizierter Substanz), wenn:</w:t>
      </w:r>
    </w:p>
    <w:p>
      <w:pPr>
        <w:pStyle w:val="ListBullet"/>
      </w:pPr>
      <w:r>
        <w:t xml:space="preserve">der Athlet kein erhebliches Verschulden trifft, </w:t>
      </w:r>
      <w:r>
        <w:rPr>
          <w:b/>
        </w:rPr>
        <w:t>und</w:t>
      </w:r>
    </w:p>
    <w:p>
      <w:pPr>
        <w:pStyle w:val="ListBullet"/>
      </w:pPr>
      <w:r>
        <w:t>er die Quelle der verbotenen Substanz glaubhaft darlegen kann.</w:t>
      </w:r>
    </w:p>
    <w:p>
      <w:pPr>
        <w:pStyle w:val="Heading3"/>
      </w:pPr>
      <w:r>
        <w:rPr>
          <w:rFonts w:ascii="Times New Roman" w:hAnsi="Times New Roman"/>
        </w:rPr>
        <w:t>2.2 Art. 10.5.2 — Kein Verschulden (No Fault or Negligence)</w:t>
      </w:r>
    </w:p>
    <w:p>
      <w:pPr>
        <w:jc w:val="left"/>
      </w:pPr>
      <w:r>
        <w:t>Nach Art. 10.5.2 NADC ist die Sperre vollständig aufzuheben, wenn:</w:t>
      </w:r>
    </w:p>
    <w:p>
      <w:pPr>
        <w:pStyle w:val="ListBullet"/>
      </w:pPr>
      <w:r>
        <w:t xml:space="preserve">der Athlet keinerlei Verschulden trifft, </w:t>
      </w:r>
      <w:r>
        <w:rPr>
          <w:b/>
        </w:rPr>
        <w:t>und</w:t>
      </w:r>
    </w:p>
    <w:p>
      <w:pPr>
        <w:pStyle w:val="ListBullet"/>
      </w:pPr>
      <w:r>
        <w:t>er die Quelle glaubhaft nachweist.</w:t>
      </w:r>
    </w:p>
    <w:p>
      <w:pPr>
        <w:pStyle w:val="Heading3"/>
      </w:pPr>
      <w:r>
        <w:rPr>
          <w:rFonts w:ascii="Times New Roman" w:hAnsi="Times New Roman"/>
        </w:rPr>
        <w:t>2.3 Supplement-Kontamination als anerkannte Quelle</w:t>
      </w:r>
    </w:p>
    <w:p>
      <w:pPr>
        <w:jc w:val="left"/>
      </w:pPr>
      <w:r>
        <w:t>Der WADA-Code und die CAS-Rechtsprechung erkennen Supplement-Kontaminationen als mögliche Quelle an (CAS 2011/A/2566; CAS 2016/A/4372; CAS 2024/A/9317). Die Einrede erfordert:</w:t>
      </w:r>
    </w:p>
    <w:p>
      <w:pPr>
        <w:pStyle w:val="ListNumber"/>
      </w:pPr>
      <w:r>
        <w:t>Positiven Labornachweis der verbotenen Substanz im Supplement</w:t>
      </w:r>
    </w:p>
    <w:p>
      <w:pPr>
        <w:pStyle w:val="ListNumber"/>
      </w:pPr>
      <w:r>
        <w:t>Kausalitätsnachweis (Konzentration im Supplement erklärt den Urinbefund)</w:t>
      </w:r>
    </w:p>
    <w:p>
      <w:pPr>
        <w:pStyle w:val="ListNumber"/>
      </w:pPr>
      <w:r>
        <w:t>Sorgfaltspflichtenerfüllung der Athletin (Recherche, Etikettierungscheck)</w:t>
      </w:r>
    </w:p>
    <w:p/>
    <w:p>
      <w:pPr>
        <w:pStyle w:val="Heading2"/>
      </w:pPr>
      <w:r>
        <w:rPr>
          <w:rFonts w:ascii="Times New Roman" w:hAnsi="Times New Roman"/>
        </w:rPr>
        <w:t>3. Sorgfaltspflichten der Athletin</w:t>
      </w:r>
    </w:p>
    <w:p>
      <w:pPr>
        <w:pStyle w:val="Heading3"/>
      </w:pPr>
      <w:r>
        <w:rPr>
          <w:rFonts w:ascii="Times New Roman" w:hAnsi="Times New Roman"/>
        </w:rPr>
        <w:t>3.1 Bisherige Maßnahmen</w:t>
      </w:r>
    </w:p>
    <w:p>
      <w:pPr>
        <w:jc w:val="left"/>
      </w:pPr>
      <w:r>
        <w:t>Nach eigener Aussage hat die Mandantin vor Einnahme des Supplements folgende Prüfungen vorgenommen: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Prüfschritt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Durchgeführt?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Etikettenkontrolle auf verbotene Substanzen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verbotene Substanz deklariert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Abgleich mit Global DRO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bekannt/durchgeführt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NADA-Supplement-Datenbank (nada.de/supplements)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bekannt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Nachfrage bei DHB-Verbandsarzt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Verbandsarzt kontaktiert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Recherche Hersteller-Website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relevanten Hinweise gefunden</w:t>
            </w:r>
          </w:p>
        </w:tc>
      </w:tr>
    </w:tbl>
    <w:p>
      <w:pPr>
        <w:jc w:val="left"/>
      </w:pPr>
      <w:r>
        <w:rPr>
          <w:b/>
        </w:rPr>
        <w:t>Rechtliche Bewertung:</w:t>
      </w:r>
      <w:r>
        <w:t xml:space="preserve"> Das Unterlassen des Global-DRO-Checks und der NADA-Datenbank-Abfrage stellt nach CAS-Rechtsprechung ein Versäumnis dar, welches regelmäßig gegen Art. 10.5.2 spricht (CAS 2011/A/2566: Athleten sind zu „due diligence" verpflichtet). Art. 10.5.1 bleibt jedoch offen, da die Sorgfaltspflicht relativ zu bemessen ist und bei einer nur geringfügig versäumten Prüfung Raum besteht.</w:t>
      </w:r>
    </w:p>
    <w:p>
      <w:pPr>
        <w:pStyle w:val="Heading3"/>
      </w:pPr>
      <w:r>
        <w:rPr>
          <w:rFonts w:ascii="Times New Roman" w:hAnsi="Times New Roman"/>
        </w:rPr>
        <w:t>3.2 Mitigationspotenzial</w:t>
      </w:r>
    </w:p>
    <w:p>
      <w:pPr>
        <w:jc w:val="left"/>
      </w:pPr>
      <w:r>
        <w:t>Folgende Faktoren mildern das Bild:</w:t>
      </w:r>
    </w:p>
    <w:p>
      <w:pPr>
        <w:pStyle w:val="ListBullet"/>
      </w:pPr>
      <w:r>
        <w:t>Trainerin empfahl Produkt aktiv (Vertrauensverhältnis zum Verein)</w:t>
      </w:r>
    </w:p>
    <w:p>
      <w:pPr>
        <w:pStyle w:val="ListBullet"/>
      </w:pPr>
      <w:r>
        <w:t>Produkt war an Sportler vermarktet und trug keinen Hinweis auf Kontaminations-Risiken</w:t>
      </w:r>
    </w:p>
    <w:p>
      <w:pPr>
        <w:pStyle w:val="ListBullet"/>
      </w:pPr>
      <w:r>
        <w:t>Produkthersteller ist in Deutschland ansässig (strengere EU-Qualitätsanforderungen)</w:t>
      </w:r>
    </w:p>
    <w:p>
      <w:pPr>
        <w:pStyle w:val="ListBullet"/>
      </w:pPr>
      <w:r>
        <w:t>Mandantin hat sechs vorherige NADA-Kontrollen negativ absolviert — keine früheren Dopingverstöße</w:t>
      </w:r>
    </w:p>
    <w:p>
      <w:pPr>
        <w:pStyle w:val="ListBullet"/>
      </w:pPr>
      <w:r>
        <w:t>DHB-Verbandsärztin bestätigt, dass kein strukturiertes Supplement-Beratungsprogramm für BSV-Vereinsspielerinnen besteht</w:t>
      </w:r>
    </w:p>
    <w:p/>
    <w:p>
      <w:pPr>
        <w:pStyle w:val="Heading2"/>
      </w:pPr>
      <w:r>
        <w:rPr>
          <w:rFonts w:ascii="Times New Roman" w:hAnsi="Times New Roman"/>
        </w:rPr>
        <w:t>4. Analyse der Charge 22-4188 — Auftrag</w:t>
      </w:r>
    </w:p>
    <w:p>
      <w:pPr>
        <w:pStyle w:val="Heading3"/>
      </w:pPr>
      <w:r>
        <w:rPr>
          <w:rFonts w:ascii="Times New Roman" w:hAnsi="Times New Roman"/>
        </w:rPr>
        <w:t>4.1 Analyselabor</w:t>
      </w:r>
    </w:p>
    <w:p>
      <w:pPr>
        <w:jc w:val="left"/>
      </w:pPr>
      <w:r>
        <w:rPr>
          <w:b/>
        </w:rPr>
        <w:t>LGC Standards GmbH</w:t>
      </w:r>
      <w:r>
        <w:t>, Mercatorstraße 51, 21079 Hamburg</w:t>
      </w:r>
    </w:p>
    <w:p>
      <w:pPr>
        <w:jc w:val="left"/>
      </w:pPr>
      <w:r>
        <w:t>WADA-akkreditiertes Prüflabor für Supplement-Analyse</w:t>
      </w:r>
    </w:p>
    <w:p>
      <w:pPr>
        <w:jc w:val="left"/>
      </w:pPr>
      <w:r>
        <w:t>ISO/IEC 17025:2017 zertifiziert</w:t>
      </w:r>
    </w:p>
    <w:p>
      <w:pPr>
        <w:jc w:val="left"/>
      </w:pPr>
      <w:r>
        <w:t>Auftrag erteilt: 10.03.2026</w:t>
      </w:r>
    </w:p>
    <w:p>
      <w:pPr>
        <w:jc w:val="left"/>
      </w:pPr>
      <w:r>
        <w:t>Analyseumfang:</w:t>
      </w:r>
    </w:p>
    <w:p>
      <w:pPr>
        <w:pStyle w:val="ListBullet"/>
      </w:pPr>
      <w:r>
        <w:t>Vollständige Screeninganalyse auf alle WADA-2026-Verbotslisten-Substanzen (LC-MS/MS)</w:t>
      </w:r>
    </w:p>
    <w:p>
      <w:pPr>
        <w:pStyle w:val="ListBullet"/>
      </w:pPr>
      <w:r>
        <w:t>Quantitative Bestimmung Meldonium falls nachgewiesen</w:t>
      </w:r>
    </w:p>
    <w:p>
      <w:pPr>
        <w:pStyle w:val="ListBullet"/>
      </w:pPr>
      <w:r>
        <w:t>DNA-Fingerprint der Probe (für Manipulationsausschluss)</w:t>
      </w:r>
    </w:p>
    <w:p>
      <w:pPr>
        <w:pStyle w:val="ListBullet"/>
      </w:pPr>
      <w:r>
        <w:t>Kausalitätsberechnung: welche tägliche Kapsel-Dosis würde den Urinbefund erklären?</w:t>
      </w:r>
    </w:p>
    <w:p>
      <w:pPr>
        <w:jc w:val="left"/>
      </w:pPr>
      <w:r>
        <w:t>Ergebnis erwartet: 01.04.2026</w:t>
      </w:r>
    </w:p>
    <w:p>
      <w:pPr>
        <w:pStyle w:val="Heading3"/>
      </w:pPr>
      <w:r>
        <w:rPr>
          <w:rFonts w:ascii="Times New Roman" w:hAnsi="Times New Roman"/>
        </w:rPr>
        <w:t>4.2 Herstelleranfrage</w:t>
      </w:r>
    </w:p>
    <w:p>
      <w:pPr>
        <w:jc w:val="left"/>
      </w:pPr>
      <w:r>
        <w:t>Mit Schreiben vom 11.03.2026 forderte die Kanzlei PowerNutrition GmbH Memmingen auf:</w:t>
      </w:r>
    </w:p>
    <w:p>
      <w:pPr>
        <w:pStyle w:val="ListNumber"/>
      </w:pPr>
      <w:r>
        <w:t>Vollständige Chargenanalyse (Certificate of Analysis, CoA) für Charge 22-4188</w:t>
      </w:r>
    </w:p>
    <w:p>
      <w:pPr>
        <w:pStyle w:val="ListNumber"/>
      </w:pPr>
      <w:r>
        <w:t>Rohstoff-Lieferscheine und Herkunftsnachweise der Inhaltsstoffe</w:t>
      </w:r>
    </w:p>
    <w:p>
      <w:pPr>
        <w:pStyle w:val="ListNumber"/>
      </w:pPr>
      <w:r>
        <w:t>GMP-Zertifikat des Herstellers</w:t>
      </w:r>
    </w:p>
    <w:p>
      <w:pPr>
        <w:pStyle w:val="ListNumber"/>
      </w:pPr>
      <w:r>
        <w:t>Kontaktdaten der beauftragten Rohstofflieferanten</w:t>
      </w:r>
    </w:p>
    <w:p>
      <w:pPr>
        <w:pStyle w:val="ListNumber"/>
      </w:pPr>
      <w:r>
        <w:t>Etwaige Rückruf- oder Qualitätsmeldungen zur Charge 22-4188</w:t>
      </w:r>
    </w:p>
    <w:p>
      <w:pPr>
        <w:jc w:val="left"/>
      </w:pPr>
      <w:r>
        <w:t>Frist: 20.03.2026. PowerNutrition GmbH hat bisher (Stand: 12.03.2026) nicht reagiert.</w:t>
      </w:r>
    </w:p>
    <w:p/>
    <w:p>
      <w:pPr>
        <w:pStyle w:val="Heading2"/>
      </w:pPr>
      <w:r>
        <w:rPr>
          <w:rFonts w:ascii="Times New Roman" w:hAnsi="Times New Roman"/>
        </w:rPr>
        <w:t>5. Beweissicherung und Parallelaktivitäten</w:t>
      </w:r>
    </w:p>
    <w:p>
      <w:pPr>
        <w:pStyle w:val="Heading3"/>
      </w:pPr>
      <w:r>
        <w:rPr>
          <w:rFonts w:ascii="Times New Roman" w:hAnsi="Times New Roman"/>
        </w:rPr>
        <w:t>5.1 Parallelproben</w:t>
      </w:r>
    </w:p>
    <w:p>
      <w:pPr>
        <w:jc w:val="left"/>
      </w:pPr>
      <w:r>
        <w:t>Die Kanzlei hat über DHB-Kontakt ermittelt, dass drei weitere BSV-Spielerinnen dasselbe Produkt (RecoveryMax Pro) verwenden oder verwendet haben. Eine von ihnen — Tamara Schönfeld (Torhüterin, BSV Zwickau) — hat auf Anfrage bestätigt, dass sie bereit ist, eine Urinprobe bei einem unabhängigen Labor einzureichen. Diese Parallelprobe könnte Kontaminationsthese untermauern.</w:t>
      </w:r>
    </w:p>
    <w:p>
      <w:pPr>
        <w:pStyle w:val="Heading3"/>
      </w:pPr>
      <w:r>
        <w:rPr>
          <w:rFonts w:ascii="Times New Roman" w:hAnsi="Times New Roman"/>
        </w:rPr>
        <w:t>5.2 Kontakt Behörden</w:t>
      </w:r>
    </w:p>
    <w:p>
      <w:pPr>
        <w:jc w:val="left"/>
      </w:pPr>
      <w:r>
        <w:t xml:space="preserve">Parallel wurde ein informeller Kontakt zum </w:t>
      </w:r>
      <w:r>
        <w:rPr>
          <w:b/>
        </w:rPr>
        <w:t>Bundesamt für Verbraucherschutz und Lebensmittelsicherheit (BVL)</w:t>
      </w:r>
      <w:r>
        <w:t xml:space="preserve"> hergestellt, das für die Überwachung von Nahrungsergänzungsmitteln zuständig ist. BVL prüft, ob gegen PowerNutrition GmbH bereits Untersuchungen laufen.</w:t>
      </w:r>
    </w:p>
    <w:p/>
    <w:p>
      <w:pPr>
        <w:jc w:val="left"/>
      </w:pPr>
      <w:r>
        <w:rPr>
          <w:i/>
        </w:rPr>
        <w:t>Quellen: NADC 2021 Art. 10.5.1, 10.5.2; WADC 2021 Commentary Art. 10.5; CAS 2011/A/2566 (Cilic); CAS 2016/A/4372 (Halep); CAS 2024/A/9317 (Pawłowski); WADA-Leitfaden „Nahrungsergänzungsmittel und Sport" 2022; Global DRO (globaldro.com); NADA Supplement-Datenbank.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PowerNutrition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PowerNutrition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Charge 22-4188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