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DIS-Sportschiedsgericht Frankfurt: Verfahren DSGSp 12/26</w:t>
      </w:r>
    </w:p>
    <w:p>
      <w:pPr>
        <w:jc w:val="left"/>
      </w:pPr>
      <w:r>
        <w:rPr>
          <w:b/>
        </w:rPr>
        <w:t>Erstellt:</w:t>
      </w:r>
      <w:r>
        <w:t xml:space="preserve"> 10.05.2026</w:t>
      </w:r>
    </w:p>
    <w:p>
      <w:pPr>
        <w:jc w:val="left"/>
      </w:pPr>
      <w:r>
        <w:rPr>
          <w:b/>
        </w:rPr>
        <w:t>Bearbeiter:</w:t>
      </w:r>
      <w:r>
        <w:t xml:space="preserve"> RA Prof. Dr. Markus Lentze</w:t>
      </w:r>
    </w:p>
    <w:p>
      <w:pPr>
        <w:jc w:val="left"/>
      </w:pPr>
      <w:r>
        <w:rPr>
          <w:b/>
        </w:rPr>
        <w:t>AZ:</w:t>
      </w:r>
      <w:r>
        <w:t xml:space="preserve"> SU/DOPING/2026-001 / DSGSp 12/26</w:t>
      </w:r>
    </w:p>
    <w:p/>
    <w:p>
      <w:pPr>
        <w:pStyle w:val="Heading2"/>
      </w:pPr>
      <w:r>
        <w:rPr>
          <w:rFonts w:ascii="Times New Roman" w:hAnsi="Times New Roman"/>
        </w:rPr>
        <w:t>1. Das Deutsche Sportschiedsgericht</w:t>
      </w:r>
    </w:p>
    <w:p>
      <w:pPr>
        <w:pStyle w:val="Heading3"/>
      </w:pPr>
      <w:r>
        <w:rPr>
          <w:rFonts w:ascii="Times New Roman" w:hAnsi="Times New Roman"/>
        </w:rPr>
        <w:t>1.1 Institutioneller Rahmen</w:t>
      </w:r>
    </w:p>
    <w:p>
      <w:pPr>
        <w:jc w:val="left"/>
      </w:pPr>
      <w:r>
        <w:t xml:space="preserve">Das </w:t>
      </w:r>
      <w:r>
        <w:rPr>
          <w:b/>
        </w:rPr>
        <w:t>Deutsche Sportschiedsgericht</w:t>
      </w:r>
      <w:r>
        <w:t xml:space="preserve"> (offiziell: Schiedsgericht nach der DIS-Sportschiedsordnung) ist das zentrale Schiedsgericht für sportrechtliche Streitigkeiten in Deutschland. Es ist institutionell bei der </w:t>
      </w:r>
      <w:r>
        <w:rPr>
          <w:b/>
        </w:rPr>
        <w:t>Deutschen Institution für Schiedsgerichtsbarkeit e.V. (DIS)</w:t>
      </w:r>
      <w:r>
        <w:t xml:space="preserve"> in Frankfurt angesiedelt.</w:t>
      </w:r>
    </w:p>
    <w:p>
      <w:pPr>
        <w:jc w:val="left"/>
      </w:pPr>
      <w:r>
        <w:t>Rechtsgrundlagen:</w:t>
      </w:r>
    </w:p>
    <w:p>
      <w:pPr>
        <w:pStyle w:val="ListBullet"/>
      </w:pPr>
      <w:r>
        <w:t>DIS-Sportschiedsordnung (DIS-SportSchO), zuletzt geändert 2022</w:t>
      </w:r>
    </w:p>
    <w:p>
      <w:pPr>
        <w:pStyle w:val="ListBullet"/>
      </w:pPr>
      <w:r>
        <w:t>Dopingprozessordnung DOSB/DHB</w:t>
      </w:r>
    </w:p>
    <w:p>
      <w:pPr>
        <w:pStyle w:val="ListBullet"/>
      </w:pPr>
      <w:r>
        <w:t>NADC 2021 Art. 8 (Recht auf faires Verfahren)</w:t>
      </w:r>
    </w:p>
    <w:p>
      <w:pPr>
        <w:pStyle w:val="ListBullet"/>
      </w:pPr>
      <w:r>
        <w:t>Allgemeine Schiedsgerichtsbarkeit nach §§ 1025 ff. ZPO</w:t>
      </w:r>
    </w:p>
    <w:p>
      <w:pPr>
        <w:jc w:val="left"/>
      </w:pPr>
      <w:r>
        <w:t>Für DHB-Athleten gilt: Die DHB-Anti-Doping-Richtlinien bestimmen das Sportschiedsgericht nach DIS-SportSchO als zuständiges Entscheidungsgremium (erster Instanz vor CAS). Die Schiedsvereinbarung ist in der Athletenvereinbarung der DHB-Nationalmannschaft enthalten, die die Mandantin am 15.01.2023 unterzeichnet hat.</w:t>
      </w:r>
    </w:p>
    <w:p>
      <w:pPr>
        <w:pStyle w:val="Heading3"/>
      </w:pPr>
      <w:r>
        <w:rPr>
          <w:rFonts w:ascii="Times New Roman" w:hAnsi="Times New Roman"/>
        </w:rPr>
        <w:t>1.2 Spruchkammer</w:t>
      </w:r>
    </w:p>
    <w:p>
      <w:pPr>
        <w:jc w:val="left"/>
      </w:pPr>
      <w:r>
        <w:t>Für das vorliegende Verfahren (DSGSp 12/26) wurde eine Spruchkammer aus drei Schiedsrichtern gebildet:</w:t>
      </w:r>
    </w:p>
    <w:p>
      <w:pPr>
        <w:pStyle w:val="ListBullet"/>
      </w:pPr>
      <w:r>
        <w:rPr>
          <w:b/>
        </w:rPr>
        <w:t>Vorsitzender:</w:t>
      </w:r>
      <w:r>
        <w:t xml:space="preserve"> Prof. Dr. Hans-Jürgen Holzheid (Köln, ehemaliger Bundesrichter)</w:t>
      </w:r>
    </w:p>
    <w:p>
      <w:pPr>
        <w:pStyle w:val="ListBullet"/>
      </w:pPr>
      <w:r>
        <w:rPr>
          <w:b/>
        </w:rPr>
        <w:t>Beisitzerin benannt von NADA:</w:t>
      </w:r>
      <w:r>
        <w:t xml:space="preserve"> Dr. Katrin Führer (München, Sportrechtlerin)</w:t>
      </w:r>
    </w:p>
    <w:p>
      <w:pPr>
        <w:pStyle w:val="ListBullet"/>
      </w:pPr>
      <w:r>
        <w:rPr>
          <w:b/>
        </w:rPr>
        <w:t>Beisitzerin benannt von Mandantin:</w:t>
      </w:r>
      <w:r>
        <w:t xml:space="preserve"> RAin Dr. Claudia Werner (Stuttgart, Fachanwältin Sportrecht)</w:t>
      </w:r>
    </w:p>
    <w:p>
      <w:pPr>
        <w:jc w:val="left"/>
      </w:pPr>
      <w:r>
        <w:t>Konstituierung der Spruchkammer: 15.04.2026.</w:t>
      </w:r>
    </w:p>
    <w:p/>
    <w:p>
      <w:pPr>
        <w:pStyle w:val="Heading2"/>
      </w:pPr>
      <w:r>
        <w:rPr>
          <w:rFonts w:ascii="Times New Roman" w:hAnsi="Times New Roman"/>
        </w:rPr>
        <w:t>2. Verfahrensgang</w:t>
      </w:r>
    </w:p>
    <w:p>
      <w:pPr>
        <w:pStyle w:val="Heading3"/>
      </w:pPr>
      <w:r>
        <w:rPr>
          <w:rFonts w:ascii="Times New Roman" w:hAnsi="Times New Roman"/>
        </w:rPr>
        <w:t>2.1 Antragsschrift NADA (Klageschrift) — 02.04.2026</w:t>
      </w:r>
    </w:p>
    <w:p>
      <w:pPr>
        <w:jc w:val="left"/>
      </w:pPr>
      <w:r>
        <w:t xml:space="preserve">NADA hat am 02.04.2026 die </w:t>
      </w:r>
      <w:r>
        <w:rPr>
          <w:b/>
        </w:rPr>
        <w:t>Verfahrenseinleitung</w:t>
      </w:r>
      <w:r>
        <w:t xml:space="preserve"> beantragt. Antragsinhalt:</w:t>
      </w:r>
    </w:p>
    <w:p>
      <w:pPr>
        <w:pStyle w:val="ListBullet"/>
      </w:pPr>
      <w:r>
        <w:t>Feststellung des Anti-Doping-Regelverstoßes nach Art. 2.1 NADC</w:t>
      </w:r>
    </w:p>
    <w:p>
      <w:pPr>
        <w:pStyle w:val="ListBullet"/>
      </w:pPr>
      <w:r>
        <w:t xml:space="preserve">Verhängung einer Sperre von </w:t>
      </w:r>
      <w:r>
        <w:rPr>
          <w:b/>
        </w:rPr>
        <w:t>4 Jahren</w:t>
      </w:r>
      <w:r>
        <w:t xml:space="preserve"> nach Art. 10.2.1 NADC (Behauptung: Meldonium ist ein Mittel zur Leistungssteigerung; NADA bestreitet Kontaminationsthese mangels Nachweises)</w:t>
      </w:r>
    </w:p>
    <w:p>
      <w:pPr>
        <w:pStyle w:val="ListBullet"/>
      </w:pPr>
      <w:r>
        <w:t>Annullierung aller Wettkampfergebnisse seit 18.02.2026</w:t>
      </w:r>
    </w:p>
    <w:p>
      <w:pPr>
        <w:pStyle w:val="ListBullet"/>
      </w:pPr>
      <w:r>
        <w:t>Kosten zu Lasten der Athletin</w:t>
      </w:r>
    </w:p>
    <w:p>
      <w:pPr>
        <w:pStyle w:val="Heading3"/>
      </w:pPr>
      <w:r>
        <w:rPr>
          <w:rFonts w:ascii="Times New Roman" w:hAnsi="Times New Roman"/>
        </w:rPr>
        <w:t>2.2 Klageerwiderung Mandantin — 12.05.2026</w:t>
      </w:r>
    </w:p>
    <w:p>
      <w:pPr>
        <w:jc w:val="left"/>
      </w:pPr>
      <w:r>
        <w:t>Kanzlei reichte am 12.05.2026 die Klageerwiderung ein (s. DOCX-Schriftsatz in docx/). Inhalt:</w:t>
      </w:r>
    </w:p>
    <w:p>
      <w:pPr>
        <w:pStyle w:val="ListBullet"/>
      </w:pPr>
      <w:r>
        <w:t>Bestreitung der Absicht (Art. 10.2.1 NADC tatbestandlich nicht erfüllt)</w:t>
      </w:r>
    </w:p>
    <w:p>
      <w:pPr>
        <w:pStyle w:val="ListBullet"/>
      </w:pPr>
      <w:r>
        <w:t>Darlegung der Kontaminationsthese mit Labornachweis (LGC Hamburg)</w:t>
      </w:r>
    </w:p>
    <w:p>
      <w:pPr>
        <w:pStyle w:val="ListBullet"/>
      </w:pPr>
      <w:r>
        <w:t>Vorlage Gutachten Prof. Dr. Kempa</w:t>
      </w:r>
    </w:p>
    <w:p>
      <w:pPr>
        <w:pStyle w:val="ListBullet"/>
      </w:pPr>
      <w:r>
        <w:t>Antrag: Freispruch (Art. 10.5.2 NADC), hilfsweise Reduzierung auf max. 12 Monate (Art. 10.5.1 NADC)</w:t>
      </w:r>
    </w:p>
    <w:p>
      <w:pPr>
        <w:pStyle w:val="ListBullet"/>
      </w:pPr>
      <w:r>
        <w:t>Antrag auf Aufhebung der vorläufigen Suspendierung für die Dauer des Verfahrens</w:t>
      </w:r>
    </w:p>
    <w:p>
      <w:pPr>
        <w:pStyle w:val="Heading3"/>
      </w:pPr>
      <w:r>
        <w:rPr>
          <w:rFonts w:ascii="Times New Roman" w:hAnsi="Times New Roman"/>
        </w:rPr>
        <w:t>2.3 Beweisaufnahme — 15.05.2026</w:t>
      </w:r>
    </w:p>
    <w:p>
      <w:pPr>
        <w:jc w:val="left"/>
      </w:pPr>
      <w:r>
        <w:t>Mündliche Verhandlung und Beweisaufnahme fand am 15.05.2026, 09:00–17:30 Uhr, im DIS-Schiedsgerichtszentrum, Beethovenstraße 5, 60325 Frankfurt am Main statt.</w:t>
      </w:r>
    </w:p>
    <w:p>
      <w:pPr>
        <w:jc w:val="left"/>
      </w:pPr>
      <w:r>
        <w:t>Anwesend: Spruchkammer (alle drei), NADA-Vertreter (Dr. Markus Röder, RA), Mandantin mit RA Prof. Dr. Lentze und RAin Wenderlich, Sachverständiger Prof. Dr. Kempa (per Videolink), Zeugin Barbara Ehrfeld (Vereinstrainerin BSV, per Präsenz), Zeugin Tamara Schönfeld (Torhüterin BSV, per Präsenz).</w:t>
      </w:r>
    </w:p>
    <w:p/>
    <w:p>
      <w:pPr>
        <w:pStyle w:val="Heading2"/>
      </w:pPr>
      <w:r>
        <w:rPr>
          <w:rFonts w:ascii="Times New Roman" w:hAnsi="Times New Roman"/>
        </w:rPr>
        <w:t>3. Verfahrensgrundrechte</w:t>
      </w:r>
    </w:p>
    <w:p>
      <w:pPr>
        <w:pStyle w:val="Heading3"/>
      </w:pPr>
      <w:r>
        <w:rPr>
          <w:rFonts w:ascii="Times New Roman" w:hAnsi="Times New Roman"/>
        </w:rPr>
        <w:t>3.1 Rechtliches Gehör (Art. 103 GG analog, Art. 8 NADC)</w:t>
      </w:r>
    </w:p>
    <w:p>
      <w:pPr>
        <w:jc w:val="left"/>
      </w:pPr>
      <w:r>
        <w:t>Das Recht auf rechtliches Gehör gilt auch im Schiedsverfahren. Art. 8 NADC i.V.m. DIS-SportSchO § 11 garantiert:</w:t>
      </w:r>
    </w:p>
    <w:p>
      <w:pPr>
        <w:pStyle w:val="ListBullet"/>
      </w:pPr>
      <w:r>
        <w:t>Angemessene Frist zur Vorbereitung</w:t>
      </w:r>
    </w:p>
    <w:p>
      <w:pPr>
        <w:pStyle w:val="ListBullet"/>
      </w:pPr>
      <w:r>
        <w:t>Recht auf Beiziehung eines Rechtsbeistands</w:t>
      </w:r>
    </w:p>
    <w:p>
      <w:pPr>
        <w:pStyle w:val="ListBullet"/>
      </w:pPr>
      <w:r>
        <w:t>Recht auf Befragung von Zeugen</w:t>
      </w:r>
    </w:p>
    <w:p>
      <w:pPr>
        <w:pStyle w:val="ListBullet"/>
      </w:pPr>
      <w:r>
        <w:t>Recht auf Akteneinsicht</w:t>
      </w:r>
    </w:p>
    <w:p>
      <w:pPr>
        <w:jc w:val="left"/>
      </w:pPr>
      <w:r>
        <w:t>Im vorliegenden Verfahren wurden alle diese Rechte gewahrt.</w:t>
      </w:r>
    </w:p>
    <w:p>
      <w:pPr>
        <w:pStyle w:val="Heading3"/>
      </w:pPr>
      <w:r>
        <w:rPr>
          <w:rFonts w:ascii="Times New Roman" w:hAnsi="Times New Roman"/>
        </w:rPr>
        <w:t>3.2 Fairness des Verfahrens — Mutu/Pechstein-Linie</w:t>
      </w:r>
    </w:p>
    <w:p>
      <w:pPr>
        <w:jc w:val="left"/>
      </w:pPr>
      <w:r>
        <w:t xml:space="preserve">Der Europäische Gerichtshof für Menschenrechte hat in </w:t>
      </w:r>
      <w:r>
        <w:rPr>
          <w:b/>
        </w:rPr>
        <w:t>Mutu und Pechstein ./. Schweiz</w:t>
      </w:r>
      <w:r>
        <w:t xml:space="preserve"> (EGMR, Urt. 02.10.2018, Az. 40575/10 und 67474/10) entschieden, dass CAS-Schiedsverfahren unter bestimmten Voraussetzungen mit Art. 6 EMRK (Recht auf ein faires Verfahren) vereinbar sind, sofern:</w:t>
      </w:r>
    </w:p>
    <w:p>
      <w:pPr>
        <w:pStyle w:val="ListBullet"/>
      </w:pPr>
      <w:r>
        <w:t>Das Schiedsverfahren freiwillig oder auf einer hinreichend legitimierten Grundlage basiert</w:t>
      </w:r>
    </w:p>
    <w:p>
      <w:pPr>
        <w:pStyle w:val="ListBullet"/>
      </w:pPr>
      <w:r>
        <w:t>Verfahrensgarantien (Unabhängigkeit, Unparteilichkeit) gewährleistet sind</w:t>
      </w:r>
    </w:p>
    <w:p>
      <w:pPr>
        <w:pStyle w:val="ListBullet"/>
      </w:pPr>
      <w:r>
        <w:t>Öffentlichkeit der Verhandlung zumindest auf Antrag möglich ist</w:t>
      </w:r>
    </w:p>
    <w:p>
      <w:pPr>
        <w:jc w:val="left"/>
      </w:pPr>
      <w:r>
        <w:t xml:space="preserve">Für das DIS-Sportschiedsgericht gelten dieselben Grundsätze. Die Kanzlei stellte vorsorglich einen Antrag auf </w:t>
      </w:r>
      <w:r>
        <w:rPr>
          <w:b/>
        </w:rPr>
        <w:t>öffentliche Verhandlung</w:t>
      </w:r>
      <w:r>
        <w:t xml:space="preserve"> (DIS-SportSchO § 11 Abs. 4), der von der Spruchkammer mit Rücksicht auf Persönlichkeitsschutz der Mandantin abgelehnt wurde. Dies ist verfahrensrechtlich zulässig.</w:t>
      </w:r>
    </w:p>
    <w:p/>
    <w:p>
      <w:pPr>
        <w:pStyle w:val="Heading2"/>
      </w:pPr>
      <w:r>
        <w:rPr>
          <w:rFonts w:ascii="Times New Roman" w:hAnsi="Times New Roman"/>
        </w:rPr>
        <w:t>4. Angehörte Zeugen</w:t>
      </w:r>
    </w:p>
    <w:p>
      <w:pPr>
        <w:pStyle w:val="Heading3"/>
      </w:pPr>
      <w:r>
        <w:rPr>
          <w:rFonts w:ascii="Times New Roman" w:hAnsi="Times New Roman"/>
        </w:rPr>
        <w:t>4.1 Barbara Ehrfeld — Vereinstrainerin BSV</w:t>
      </w:r>
    </w:p>
    <w:p>
      <w:pPr>
        <w:jc w:val="left"/>
      </w:pPr>
      <w:r>
        <w:t>Aussage: Sie empfahl RecoveryMax Pro der Mandantin und sieben weiteren Spielerinnen. Sie habe das Produkt auf einer Sportmesse (FIBO Köln, Oktober 2024) kennengelernt und es für unbedenklich gehalten. Sie habe keine Prüfung auf Verbotslisten-Konformität vorgenommen.</w:t>
      </w:r>
    </w:p>
    <w:p>
      <w:pPr>
        <w:jc w:val="left"/>
      </w:pPr>
      <w:r>
        <w:rPr>
          <w:b/>
        </w:rPr>
        <w:t>Beweiswert:</w:t>
      </w:r>
      <w:r>
        <w:t xml:space="preserve"> Bestätigt die Empfehlungskette; zeigt strukturelles Versäumnis im Verein (keine systematische Supplement-Prüfung). Dies stärkt Art. 10.5.1-Argumentation: Mandantin durfte auf Empfehlung vertrauen.</w:t>
      </w:r>
    </w:p>
    <w:p>
      <w:pPr>
        <w:pStyle w:val="Heading3"/>
      </w:pPr>
      <w:r>
        <w:rPr>
          <w:rFonts w:ascii="Times New Roman" w:hAnsi="Times New Roman"/>
        </w:rPr>
        <w:t>4.2 Tamara Schönfeld — Torhüterin BSV</w:t>
      </w:r>
    </w:p>
    <w:p>
      <w:pPr>
        <w:jc w:val="left"/>
      </w:pPr>
      <w:r>
        <w:t>Aussage: Sie verwendet dasselbe Produkt, Charge 22-4188, seit Dezember 2024. Ihre eigene NADA-Kontrolle (Zufallsauswahl) am 20.03.2026 war negativ. Urinprobe im unabhängigen Labor: Meldonium 0,31 µg/mL (unterhalb Schwellenwert, aber nachweisbar).</w:t>
      </w:r>
    </w:p>
    <w:p>
      <w:pPr>
        <w:jc w:val="left"/>
      </w:pPr>
      <w:r>
        <w:rPr>
          <w:b/>
        </w:rPr>
        <w:t>Beweiswert:</w:t>
      </w:r>
      <w:r>
        <w:t xml:space="preserve"> Nachweis, dass dasselbe Produkt bei einer weiteren Sportlerin zu Meldonium-Spuren führt — starkes Indiz für Kontamination.</w:t>
      </w:r>
    </w:p>
    <w:p/>
    <w:p>
      <w:pPr>
        <w:pStyle w:val="Heading2"/>
      </w:pPr>
      <w:r>
        <w:rPr>
          <w:rFonts w:ascii="Times New Roman" w:hAnsi="Times New Roman"/>
        </w:rPr>
        <w:t>5. Schiedsspruch (30.06.2026) — Kurzzusammenfassung</w:t>
      </w:r>
    </w:p>
    <w:p>
      <w:pPr>
        <w:jc w:val="left"/>
      </w:pPr>
      <w:r>
        <w:t>Die Spruchkammer entschied mit Schiedsspruch vom 30.06.2026:</w:t>
      </w:r>
    </w:p>
    <w:p>
      <w:pPr>
        <w:pStyle w:val="ListBullet"/>
      </w:pPr>
      <w:r>
        <w:rPr>
          <w:b/>
        </w:rPr>
        <w:t>Anti-Doping-Regelverstoß:</w:t>
      </w:r>
      <w:r>
        <w:t xml:space="preserve"> Bejaht (Art. 2.1 NADC)</w:t>
      </w:r>
    </w:p>
    <w:p>
      <w:pPr>
        <w:pStyle w:val="ListBullet"/>
      </w:pPr>
      <w:r>
        <w:rPr>
          <w:b/>
        </w:rPr>
        <w:t>Absicht:</w:t>
      </w:r>
      <w:r>
        <w:t xml:space="preserve"> Verneint (Art. 10.2.1 NADC nicht anwendbar)</w:t>
      </w:r>
    </w:p>
    <w:p>
      <w:pPr>
        <w:pStyle w:val="ListBullet"/>
      </w:pPr>
      <w:r>
        <w:rPr>
          <w:b/>
        </w:rPr>
        <w:t>Kein erhebliches Verschulden:</w:t>
      </w:r>
      <w:r>
        <w:t xml:space="preserve"> Teilweise bejaht — Spruchkammer anerkannte Kontamination, monierte aber fehlenden Global-DRO-Check</w:t>
      </w:r>
    </w:p>
    <w:p>
      <w:pPr>
        <w:pStyle w:val="ListBullet"/>
      </w:pPr>
      <w:r>
        <w:rPr>
          <w:b/>
        </w:rPr>
        <w:t>Sperre:</w:t>
      </w:r>
      <w:r>
        <w:t xml:space="preserve"> </w:t>
      </w:r>
      <w:r>
        <w:rPr>
          <w:b/>
        </w:rPr>
        <w:t>2 Jahre</w:t>
      </w:r>
      <w:r>
        <w:t>, beginnend ab vorläufiger Suspendierung (28.02.2026); damit endend 27.02.2028</w:t>
      </w:r>
    </w:p>
    <w:p>
      <w:pPr>
        <w:pStyle w:val="ListBullet"/>
      </w:pPr>
      <w:r>
        <w:rPr>
          <w:b/>
        </w:rPr>
        <w:t>Annullierung Ergebnisse:</w:t>
      </w:r>
      <w:r>
        <w:t xml:space="preserve"> Wettkampfergebnisse ab 18.02.2026 annulliert</w:t>
      </w:r>
    </w:p>
    <w:p>
      <w:pPr>
        <w:jc w:val="left"/>
      </w:pPr>
      <w:r>
        <w:t xml:space="preserve">Gegen diesen Schiedsspruch legte die Mandantin fristgerecht Berufung beim </w:t>
      </w:r>
      <w:r>
        <w:rPr>
          <w:b/>
        </w:rPr>
        <w:t>Court of Arbitration for Sport (CAS)</w:t>
      </w:r>
      <w:r>
        <w:t xml:space="preserve"> ein (s. Aktenstücke 13, 14).</w:t>
      </w:r>
    </w:p>
    <w:p/>
    <w:p>
      <w:pPr>
        <w:jc w:val="left"/>
      </w:pPr>
      <w:r>
        <w:rPr>
          <w:i/>
        </w:rPr>
        <w:t>Quellen: DIS-SportSchO 2022; NADC 2021 Art. 2.1, 8, 10.2, 10.5; §§ 1025 ff. ZPO; EGMR Urt. 02.10.2018, Az. 40575/10 und 67474/10 (Mutu/Pechstein ./. Schweiz); Art. 6 EMRK.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1. Das Deutsche Sportschiedsgericht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1. Das Deutsche Sportschiedsgericht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