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19 — Sponsorenvertrag Adidas AG: Moralklausel und Rückforderung</w:t>
      </w:r>
    </w:p>
    <w:p>
      <w:pPr>
        <w:jc w:val="left"/>
      </w:pPr>
      <w:r>
        <w:rPr>
          <w:b/>
        </w:rPr>
        <w:t>Erstellt:</w:t>
      </w:r>
      <w:r>
        <w:t xml:space="preserve"> 30.03.2026</w:t>
      </w:r>
    </w:p>
    <w:p>
      <w:pPr>
        <w:jc w:val="left"/>
      </w:pPr>
      <w:r>
        <w:rPr>
          <w:b/>
        </w:rPr>
        <w:t>Bearbeiter:</w:t>
      </w:r>
      <w:r>
        <w:t xml:space="preserve"> RA Prof. Dr. Markus Lentze</w:t>
      </w:r>
    </w:p>
    <w:p>
      <w:pPr>
        <w:jc w:val="left"/>
      </w:pPr>
      <w:r>
        <w:rPr>
          <w:b/>
        </w:rPr>
        <w:t>AZ:</w:t>
      </w:r>
      <w:r>
        <w:t xml:space="preserve"> SU/DOPING/2026-001 / ICC Zürich 28-2026/SPO</w:t>
      </w:r>
    </w:p>
    <w:p/>
    <w:p>
      <w:pPr>
        <w:pStyle w:val="Heading2"/>
      </w:pPr>
      <w:r>
        <w:rPr>
          <w:rFonts w:ascii="Times New Roman" w:hAnsi="Times New Roman"/>
        </w:rPr>
        <w:t>1. Sponsorenvertrag — Vertragsstruktur</w:t>
      </w:r>
    </w:p>
    <w:p>
      <w:pPr>
        <w:jc w:val="left"/>
      </w:pPr>
      <w:r>
        <w:t>Der am 01.01.2025 abgeschlossene Sponsorenvertrag zwischen Selin Uvalkanat und der Adidas AG (Adi-Dassler-Straße 1, 91074 Herzogenaurach) hat folgende Kernstruktur: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Parameter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Wert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Vertragsparteien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Selin Uvalkanat / Adidas AG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Laufzeit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01.01.2025 bis 31.12.2027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Jahresvergütung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40.000 EUR netto p.a.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Zahlungsweise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Quartalsweise, je 10.000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Provisionsvorschuss 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80.000 EUR brutto (ausgezahlt 15.01.2026)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Provisionsvorschuss 2027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40.000 EUR brutto (noch nicht fällig)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Verpflichtungen Athletin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Bildrechte, Social Media (2x/Monat), 4 Werbetage/Jahr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Rechtswahl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Deutsches Recht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Schiedsklausel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ICC-Schiedsverfahren Zürich, 3 Schiedsrichter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Gerichtsstand staatlich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Amtsgericht/Landgericht Herzogenaurach (subsidiär)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2. Moralklausel Ziff. 9.3</w:t>
      </w:r>
    </w:p>
    <w:p>
      <w:pPr>
        <w:jc w:val="left"/>
      </w:pPr>
      <w:r>
        <w:t>Der Vertrag enthält in Ziff. 9.3 folgende Moralklausel:</w:t>
      </w:r>
    </w:p>
    <w:p>
      <w:pPr>
        <w:jc w:val="left"/>
      </w:pPr>
      <w:r>
        <w:t>„</w:t>
      </w:r>
      <w:r>
        <w:rPr>
          <w:b/>
        </w:rPr>
        <w:t>Moralklausel.</w:t>
      </w:r>
      <w:r>
        <w:t xml:space="preserve"> Adidas ist berechtigt, diesen Vertrag mit sofortiger Wirkung zu kündigen und/oder die Zusammenarbeit zu suspendieren, wenn der Athlet in ein Verfahren verwickelt wird, das geeignet ist, den Ruf von Adidas erheblich zu schädigen, insbesondere: (a) ein Strafverfahren wegen vorsätzlicher Tat, (b) ein Anti-Doping-Verfahren wegen eines positiven Befundes auf eine verbotene Substanz, (c) ein anderes Verhalten, das den Werten von Adidas — Fairness, Integrität, Leistung — zuwiderläuft. Im Fall einer Kündigung oder Suspendierung nach diesem Absatz ist Adidas berechtigt, ausgezahlte Vorschüsse und Honorare anteilig zurückzufordern."</w:t>
      </w:r>
    </w:p>
    <w:p/>
    <w:p>
      <w:pPr>
        <w:pStyle w:val="Heading2"/>
      </w:pPr>
      <w:r>
        <w:rPr>
          <w:rFonts w:ascii="Times New Roman" w:hAnsi="Times New Roman"/>
        </w:rPr>
        <w:t>3. Adidas-Schreiben (25.03.2026)</w:t>
      </w:r>
    </w:p>
    <w:p>
      <w:pPr>
        <w:jc w:val="left"/>
      </w:pPr>
      <w:r>
        <w:t>Am 25.03.2026 erhielt die Kanzlei folgendes Schreiben der Adidas AG (Rechtsabteilung, Dr. Klaus Meissner):</w:t>
      </w:r>
    </w:p>
    <w:p>
      <w:pPr>
        <w:jc w:val="left"/>
      </w:pPr>
      <w:r>
        <w:t>„Sehr geehrter Herr Prof. Dr. Lentze,</w:t>
      </w:r>
    </w:p>
    <w:p>
      <w:pPr>
        <w:jc w:val="left"/>
      </w:pPr>
      <w:r>
        <w:t>wir nehmen Bezug auf das Anti-Doping-Verfahren gegen Frau Uvalkanat. Adidas AG sieht sich gezwungen, die Zusammenarbeit mit Frau Uvalkanat nach Ziff. 9.3 des Sponsorenvertrages mit sofortiger Wirkung zu suspendieren.</w:t>
      </w:r>
    </w:p>
    <w:p>
      <w:pPr>
        <w:jc w:val="left"/>
      </w:pPr>
      <w:r>
        <w:t xml:space="preserve">Gleichzeitig fordern wir gemäß Ziff. 9.3 Satz 3 die anteilige Rückzahlung des am 15.01.2026 ausgezahlten Provisionsvorschusses für das Jahr 2026 in voller Höhe von </w:t>
      </w:r>
      <w:r>
        <w:rPr>
          <w:b/>
        </w:rPr>
        <w:t>80.000 EUR brutto</w:t>
      </w:r>
      <w:r>
        <w:t>. Wir bitten um Rückzahlung bis zum 15.04.2026.</w:t>
      </w:r>
    </w:p>
    <w:p>
      <w:pPr>
        <w:jc w:val="left"/>
      </w:pPr>
      <w:r>
        <w:t>Darüber hinaus behalten wir uns vor, weitere Schadensersatzansprüche geltend zu machen.</w:t>
      </w:r>
    </w:p>
    <w:p>
      <w:pPr>
        <w:jc w:val="left"/>
      </w:pPr>
      <w:r>
        <w:t>Mit freundlichen Grüßen,</w:t>
      </w:r>
    </w:p>
    <w:p>
      <w:pPr>
        <w:jc w:val="left"/>
      </w:pPr>
      <w:r>
        <w:t>Dr. Klaus Meissner, Leiter Rechtsabteilung, Adidas AG"</w:t>
      </w:r>
    </w:p>
    <w:p/>
    <w:p>
      <w:pPr>
        <w:pStyle w:val="Heading2"/>
      </w:pPr>
      <w:r>
        <w:rPr>
          <w:rFonts w:ascii="Times New Roman" w:hAnsi="Times New Roman"/>
        </w:rPr>
        <w:t>4. Rechtliche Analyse</w:t>
      </w:r>
    </w:p>
    <w:p>
      <w:pPr>
        <w:pStyle w:val="Heading3"/>
      </w:pPr>
      <w:r>
        <w:rPr>
          <w:rFonts w:ascii="Times New Roman" w:hAnsi="Times New Roman"/>
        </w:rPr>
        <w:t>4.1 Wirksamkeit der Moralklausel</w:t>
      </w:r>
    </w:p>
    <w:p>
      <w:pPr>
        <w:jc w:val="left"/>
      </w:pPr>
      <w:r>
        <w:t>Die Moralklausel unterliegt als Allgemeine Geschäftsbedingung (AGB) der Inhaltskontrolle nach §§ 307 ff. BGB. Adidas-Verträge mit Athleten werden standardisiert angeboten — daher ist von AGB-Qualität auszugehen.</w:t>
      </w:r>
    </w:p>
    <w:p>
      <w:pPr>
        <w:jc w:val="left"/>
      </w:pPr>
      <w:r>
        <w:rPr>
          <w:b/>
        </w:rPr>
        <w:t>Prüfung § 307 Abs. 1 BGB (unangemessene Benachteiligung):</w:t>
      </w:r>
    </w:p>
    <w:p>
      <w:pPr>
        <w:jc w:val="left"/>
      </w:pPr>
      <w:r>
        <w:t xml:space="preserve">Die Klausel ist in Ziff. 9.3 lit. b so gestaltet, dass </w:t>
      </w:r>
      <w:r>
        <w:rPr>
          <w:b/>
        </w:rPr>
        <w:t>bereits die Einleitung eines Anti-Doping-Verfahrens</w:t>
      </w:r>
      <w:r>
        <w:t xml:space="preserve"> — ohne rechtskräftige Entscheidung — zur Suspendierung und Rückforderung berechtigt. Dies ist problematisch:</w:t>
      </w:r>
    </w:p>
    <w:p>
      <w:pPr>
        <w:pStyle w:val="ListBullet"/>
      </w:pPr>
      <w:r>
        <w:t>Nach BGH NJW 2013, 2885 sind Klauseln unwirksam, die den Vertragspartner bei bloßem Verdacht und ohne Schuldnachweis sanktionieren, wenn kein sachlicher Grund besteht.</w:t>
      </w:r>
    </w:p>
    <w:p>
      <w:pPr>
        <w:pStyle w:val="ListBullet"/>
      </w:pPr>
      <w:r>
        <w:t>Die Klausel differenziert nicht zwischen AAF (Laborergebnis) und ADRV (rechtskräftige Entscheidung). Sie lässt offen, ob auch ein schließlich freigesprochener Athlet den Vorschuss zurückzahlen muss.</w:t>
      </w:r>
    </w:p>
    <w:p>
      <w:pPr>
        <w:pStyle w:val="ListBullet"/>
      </w:pPr>
      <w:r>
        <w:t>Die Unschuldsvermutung ist im zivilrechtlichen Kontext zwar nicht unmittelbar anwendbar; gleichwohl kann eine Klausel nach § 307 Abs. 1 BGB unwirksam sein, wenn sie in unangemessener Weise die Rechtsposition des Vertragspartners verschlechtert, ohne dass ein legitimer Zweck dies rechtfertigt.</w:t>
      </w:r>
    </w:p>
    <w:p>
      <w:pPr>
        <w:jc w:val="left"/>
      </w:pPr>
      <w:r>
        <w:rPr>
          <w:b/>
        </w:rPr>
        <w:t>Gleichwohl:</w:t>
      </w:r>
      <w:r>
        <w:t xml:space="preserve"> Im Bereich der Sportler-Sponsoring-Verträge hat die Rechtsprechung Moralklauseln tendenziell akzeptiert (OLG München, Urt. 20.09.2018, 23 U 1284/18: Moralklausel bei Schauspielerin bei Strafverfahren — wirksam). Die Frage, ob ein AAF ausreicht oder ein ADRV erforderlich ist, wurde in Deutschland gerichtlich noch nicht abschließend entschieden.</w:t>
      </w:r>
    </w:p>
    <w:p>
      <w:pPr>
        <w:pStyle w:val="Heading3"/>
      </w:pPr>
      <w:r>
        <w:rPr>
          <w:rFonts w:ascii="Times New Roman" w:hAnsi="Times New Roman"/>
        </w:rPr>
        <w:t>4.2 Rückforderungsanspruch — Umfang</w:t>
      </w:r>
    </w:p>
    <w:p>
      <w:pPr>
        <w:jc w:val="left"/>
      </w:pPr>
      <w:r>
        <w:t>Selbst wenn die Moralklausel wirksam ist: Der Rückforderungsanspruch bezieht sich auf den „anteiligen" Vorschuss. Der Vorschuss von 80.000 EUR war für das Jahr 2026 gezahlt. Adidas kündigt am 25.03.2026 — also nach ca. 2,5 Monaten des Jahres 2026.</w:t>
      </w:r>
    </w:p>
    <w:p>
      <w:pPr>
        <w:jc w:val="left"/>
      </w:pPr>
      <w:r>
        <w:t>Anteilige Berechnung: 2,5/12 × 40.000 EUR (Jahresvergütung) = ca. 8.333 EUR bereits „verdient". Der Vorschuss übersteigt die Jahresvergütung (80.000 EUR &gt; 40.000 EUR). Der überschießende Teil (80.000 EUR − 40.000 EUR = 40.000 EUR) ist nach § 812 BGB als ungerechtfertigte Bereicherung rückforderbar; der Restbetrag (40.000 EUR) bezieht sich auf die vertragliche Vergütung, die bei Vertragsauflösung pro rata zu berücksichtigen ist.</w:t>
      </w:r>
    </w:p>
    <w:p>
      <w:pPr>
        <w:jc w:val="left"/>
      </w:pPr>
      <w:r>
        <w:rPr>
          <w:b/>
        </w:rPr>
        <w:t>Verteidigungsansatz:</w:t>
      </w:r>
      <w:r>
        <w:t xml:space="preserve"> Selbst bei wirksamer Moralklausel schuldet die Mandantin höchstens </w:t>
      </w:r>
      <w:r>
        <w:rPr>
          <w:b/>
        </w:rPr>
        <w:t>71.667 EUR</w:t>
      </w:r>
      <w:r>
        <w:t xml:space="preserve"> (80.000 EUR minus 8.333 EUR anteilig verdient). Diese Berechnung werden wir gegen Adidas einsetzen. Vorzugslösung: Moralklausel ist unwirksam (§ 307 BGB); kein Rückforderungsanspruch.</w:t>
      </w:r>
    </w:p>
    <w:p/>
    <w:p>
      <w:pPr>
        <w:pStyle w:val="Heading2"/>
      </w:pPr>
      <w:r>
        <w:rPr>
          <w:rFonts w:ascii="Times New Roman" w:hAnsi="Times New Roman"/>
        </w:rPr>
        <w:t>5. ICC-Schiedsverfahren Zürich (28-2026/SPO)</w:t>
      </w:r>
    </w:p>
    <w:p>
      <w:pPr>
        <w:jc w:val="left"/>
      </w:pPr>
      <w:r>
        <w:t xml:space="preserve">Da der Sponsorenvertrag eine ICC-Schiedsklausel enthält, hat Adidas das Schiedsverfahren bei der </w:t>
      </w:r>
      <w:r>
        <w:rPr>
          <w:b/>
        </w:rPr>
        <w:t>International Chamber of Commerce (ICC)</w:t>
      </w:r>
      <w:r>
        <w:t xml:space="preserve"> in Zürich eingeleitet (Registrierungsnummer 28-2026/SPO).</w:t>
      </w:r>
    </w:p>
    <w:p>
      <w:pPr>
        <w:jc w:val="left"/>
      </w:pPr>
      <w:r>
        <w:rPr>
          <w:b/>
        </w:rPr>
        <w:t>Status:</w:t>
      </w:r>
      <w:r>
        <w:t xml:space="preserve"> ICC-Sekretariat hat die Klage am 18.04.2026 formell registriert. Adidas' Anspruch: Rückzahlung 80.000 EUR. Gegenklage Mandantin: Fortbestand des Vertrages, Schadensersatz wegen ungerechtfertigter Suspendierung.</w:t>
      </w:r>
    </w:p>
    <w:p>
      <w:pPr>
        <w:jc w:val="left"/>
      </w:pPr>
      <w:r>
        <w:rPr>
          <w:b/>
        </w:rPr>
        <w:t>Zeitplan:</w:t>
      </w:r>
      <w:r>
        <w:t xml:space="preserve"> Panel-Konstituierung bis Juni 2026; mündliche Verhandlung voraussichtlich Anfang 2027.</w:t>
      </w:r>
    </w:p>
    <w:p>
      <w:pPr>
        <w:jc w:val="left"/>
      </w:pPr>
      <w:r>
        <w:rPr>
          <w:b/>
        </w:rPr>
        <w:t>Anwendbares Recht:</w:t>
      </w:r>
      <w:r>
        <w:t xml:space="preserve"> Deutsches Recht (Ziff. 12 des Sponsorenvertrages). Verfahrenssprache: Deutsch (Parteivereinbarung).</w:t>
      </w:r>
    </w:p>
    <w:p/>
    <w:p>
      <w:pPr>
        <w:jc w:val="left"/>
      </w:pPr>
      <w:r>
        <w:rPr>
          <w:i/>
        </w:rPr>
        <w:t>Quellen: § 307 BGB (AGB-Inhaltskontrolle); § 812 BGB (ungerechtfertigte Bereicherung); BGH NJW 2013, 2885; OLG München, Urt. 20.09.2018, 23 U 1284/18; ICC-Schiedsordnung 2021; Sponsorenvertrag Ziff. 9.3, 12.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Sponsorenvertrag Adidas AG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11555F"/>
        <w:sz w:val="24"/>
      </w:rPr>
      <w:t>Sponsorenvertrag Adidas AG</w:t>
    </w:r>
  </w:p>
  <w:p>
    <w:pPr>
      <w:jc w:val="left"/>
      <w:pBdr>
        <w:bottom w:val="single" w:sz="6" w:space="2" w:color="11555F"/>
      </w:pBdr>
    </w:pPr>
    <w:r>
      <w:rPr>
        <w:rFonts w:ascii="Times New Roman" w:hAnsi="Times New Roman"/>
        <w:color w:val="6B6B66"/>
        <w:sz w:val="16"/>
      </w:rPr>
      <w:t>Unternehmen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