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Term Sheet / Letter of Intent: SPA Volkenrath Solar Eppendorf GmbH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28. März 2026</w:t>
      </w:r>
    </w:p>
    <w:p>
      <w:pPr>
        <w:jc w:val="left"/>
      </w:pPr>
      <w:r>
        <w:rPr>
          <w:b/>
        </w:rPr>
        <w:t>Parteien:</w:t>
      </w:r>
      <w:r>
        <w:t xml:space="preserve"> Volkenrath Energie SE (Verkäuferin) / Steinheim Capital Partners GmbH &amp; Co. KG (Käufer)</w:t>
      </w:r>
    </w:p>
    <w:p>
      <w:pPr>
        <w:jc w:val="left"/>
      </w:pPr>
      <w:r>
        <w:rPr>
          <w:b/>
        </w:rPr>
        <w:t>Status:</w:t>
      </w:r>
      <w:r>
        <w:t xml:space="preserve"> Unterzeichnet — nicht rechtsverbindlich (ausser Exklusivität und Vertraulichkeit)</w:t>
      </w:r>
    </w:p>
    <w:p/>
    <w:p>
      <w:pPr>
        <w:pStyle w:val="Heading2"/>
      </w:pPr>
      <w:r>
        <w:rPr>
          <w:rFonts w:ascii="Times New Roman" w:hAnsi="Times New Roman"/>
        </w:rPr>
        <w:t>Term Sheet — Wesentliche Eckpunkte</w:t>
      </w:r>
    </w:p>
    <w:p>
      <w:pPr>
        <w:pStyle w:val="Heading3"/>
      </w:pPr>
      <w:r>
        <w:rPr>
          <w:rFonts w:ascii="Times New Roman" w:hAnsi="Times New Roman"/>
        </w:rPr>
        <w:t>1. Transaktionsgegenstand</w:t>
      </w:r>
    </w:p>
    <w:p>
      <w:pPr>
        <w:jc w:val="left"/>
      </w:pPr>
      <w:r>
        <w:t>Erwerb von 100% der Geschäftsanteile an der Volkenrath Solar Eppendorf GmbH (SPV), eingetragen im Handelsregister Charlottenburg, HRB 72 341 B, durch Käufer im Wege des Share-Deals gemäß § 15 GmbHG.</w:t>
      </w:r>
    </w:p>
    <w:p>
      <w:pPr>
        <w:pStyle w:val="Heading3"/>
      </w:pPr>
      <w:r>
        <w:rPr>
          <w:rFonts w:ascii="Times New Roman" w:hAnsi="Times New Roman"/>
        </w:rPr>
        <w:t>2. Kaufpreis und Mechanismus</w:t>
      </w:r>
    </w:p>
    <w:p>
      <w:pPr>
        <w:pStyle w:val="ListBullet"/>
      </w:pPr>
      <w:r>
        <w:t>Enterprise Value: EUR 38.000.000 (achtunddreissig Millionen Euro)</w:t>
      </w:r>
    </w:p>
    <w:p>
      <w:pPr>
        <w:pStyle w:val="ListBullet"/>
      </w:pPr>
      <w:r>
        <w:t>Equity Value: Enterprise Value abzüglich Net Debt und Working Capital-Adjustments</w:t>
      </w:r>
    </w:p>
    <w:p>
      <w:pPr>
        <w:pStyle w:val="ListBullet"/>
      </w:pPr>
      <w:r>
        <w:t>Mechanismus: Locked-Box per 31.12.2025 (Referenzdate); kein Closing-Accounts-Mechanismus</w:t>
      </w:r>
    </w:p>
    <w:p>
      <w:pPr>
        <w:pStyle w:val="ListBullet"/>
      </w:pPr>
      <w:r>
        <w:t>Locked-Box Interest (Ticker): EUR 5.200/Tag ab 01.01.2026 bis Closing</w:t>
      </w:r>
    </w:p>
    <w:p>
      <w:pPr>
        <w:pStyle w:val="ListBullet"/>
      </w:pPr>
      <w:r>
        <w:t>Leakage-Definition: dividends, intercompany transfers, management fees, transaction bonuses (Ausnahme: Permitted Leakage)</w:t>
      </w:r>
    </w:p>
    <w:p>
      <w:pPr>
        <w:pStyle w:val="Heading3"/>
      </w:pPr>
      <w:r>
        <w:rPr>
          <w:rFonts w:ascii="Times New Roman" w:hAnsi="Times New Roman"/>
        </w:rPr>
        <w:t>3. Earn-Out</w:t>
      </w:r>
    </w:p>
    <w:p>
      <w:pPr>
        <w:pStyle w:val="ListBullet"/>
      </w:pPr>
      <w:r>
        <w:t>Earn-Out-Komponente: bis zu EUR 3.500.000 zahlbar, abhängig von EBITDA Volkenrath Solar Eppendorf GmbH für das Geschäftsjahr 2027</w:t>
      </w:r>
    </w:p>
    <w:p>
      <w:pPr>
        <w:pStyle w:val="ListBullet"/>
      </w:pPr>
      <w:r>
        <w:t>Schwelle: EBITDA &gt;= EUR 4.200.000 auslost vollen Earn-Out; lineare Skalierung ab EUR 3.600.000 EBITDA</w:t>
      </w:r>
    </w:p>
    <w:p>
      <w:pPr>
        <w:pStyle w:val="ListBullet"/>
      </w:pPr>
      <w:r>
        <w:t>Definition EBITDA: zu verhandeln (offener Punkt — siehe Aktenstück 07)</w:t>
      </w:r>
    </w:p>
    <w:p>
      <w:pPr>
        <w:pStyle w:val="ListBullet"/>
      </w:pPr>
      <w:r>
        <w:t>Zahlungszeitpunkt: 31. März 2028 nach Bestätigungsschreiben Wirtschaftsprüfer</w:t>
      </w:r>
    </w:p>
    <w:p>
      <w:pPr>
        <w:pStyle w:val="Heading3"/>
      </w:pPr>
      <w:r>
        <w:rPr>
          <w:rFonts w:ascii="Times New Roman" w:hAnsi="Times New Roman"/>
        </w:rPr>
        <w:t>4. Exklusivität</w:t>
      </w:r>
    </w:p>
    <w:p>
      <w:pPr>
        <w:pStyle w:val="ListBullet"/>
      </w:pPr>
      <w:r>
        <w:t>Dauer: 60 Tage ab Unterzeichnung Term Sheet (= bis 27. Mai 2026)</w:t>
      </w:r>
    </w:p>
    <w:p>
      <w:pPr>
        <w:pStyle w:val="ListBullet"/>
      </w:pPr>
      <w:r>
        <w:t>Verpflichtung Verkäuferin: keine parallelen Verkaufsgespräche, kein weiterer Datenraumzugang</w:t>
      </w:r>
    </w:p>
    <w:p>
      <w:pPr>
        <w:pStyle w:val="ListBullet"/>
      </w:pPr>
      <w:r>
        <w:t>Break Fee: EUR 500.000 zahlbar von Verkäuferin bei Verletzung Exklusivität</w:t>
      </w:r>
    </w:p>
    <w:p>
      <w:pPr>
        <w:pStyle w:val="Heading3"/>
      </w:pPr>
      <w:r>
        <w:rPr>
          <w:rFonts w:ascii="Times New Roman" w:hAnsi="Times New Roman"/>
        </w:rPr>
        <w:t>5. Vertraulichkeit</w:t>
      </w:r>
    </w:p>
    <w:p>
      <w:pPr>
        <w:pStyle w:val="ListBullet"/>
      </w:pPr>
      <w:r>
        <w:t>Gegenseitige NDA-Verpflichtung für Dauer der Transaktion und 3 Jahre danach</w:t>
      </w:r>
    </w:p>
    <w:p>
      <w:pPr>
        <w:pStyle w:val="ListBullet"/>
      </w:pPr>
      <w:r>
        <w:t>Ausnahmen: Regulatory Disclosure (BKartA), Bankenkommunikation, erforderliche Beraterpflichten</w:t>
      </w:r>
    </w:p>
    <w:p>
      <w:pPr>
        <w:pStyle w:val="Heading3"/>
      </w:pPr>
      <w:r>
        <w:rPr>
          <w:rFonts w:ascii="Times New Roman" w:hAnsi="Times New Roman"/>
        </w:rPr>
        <w:t>6. Due Diligence</w:t>
      </w:r>
    </w:p>
    <w:p>
      <w:pPr>
        <w:pStyle w:val="ListBullet"/>
      </w:pPr>
      <w:r>
        <w:t>Virtueller Datenraum (Intralinks): Zugang ab 01. April 2026</w:t>
      </w:r>
    </w:p>
    <w:p>
      <w:pPr>
        <w:pStyle w:val="ListBullet"/>
      </w:pPr>
      <w:r>
        <w:t>Umfang: Legal, Financial, Technical, Tax DD</w:t>
      </w:r>
    </w:p>
    <w:p>
      <w:pPr>
        <w:pStyle w:val="ListBullet"/>
      </w:pPr>
      <w:r>
        <w:t>DD-Zeitraum: 6 Wochen</w:t>
      </w:r>
    </w:p>
    <w:p>
      <w:pPr>
        <w:pStyle w:val="ListBullet"/>
      </w:pPr>
      <w:r>
        <w:t>Management Presentation: 15. April 2026, Berlin</w:t>
      </w:r>
    </w:p>
    <w:p>
      <w:pPr>
        <w:pStyle w:val="Heading3"/>
      </w:pPr>
      <w:r>
        <w:rPr>
          <w:rFonts w:ascii="Times New Roman" w:hAnsi="Times New Roman"/>
        </w:rPr>
        <w:t>7. Struktur der Transaktion</w:t>
      </w:r>
    </w:p>
    <w:p>
      <w:pPr>
        <w:pStyle w:val="ListBullet"/>
      </w:pPr>
      <w:r>
        <w:t>Share-Deal (GmbH-Anteilsabtretung, § 15 Abs. 3 GmbHG — notarielle Form)</w:t>
      </w:r>
    </w:p>
    <w:p>
      <w:pPr>
        <w:pStyle w:val="ListBullet"/>
      </w:pPr>
      <w:r>
        <w:t>Notar: Dr. Konrad Birkenhainer, Berlin (UR-Nr. 188/26 vorgemerkt)</w:t>
      </w:r>
    </w:p>
    <w:p>
      <w:pPr>
        <w:pStyle w:val="ListBullet"/>
      </w:pPr>
      <w:r>
        <w:t>Signing: angestrebt September 2026</w:t>
      </w:r>
    </w:p>
    <w:p>
      <w:pPr>
        <w:pStyle w:val="ListBullet"/>
      </w:pPr>
      <w:r>
        <w:t>Closing: angestrebt Q4 2026</w:t>
      </w:r>
    </w:p>
    <w:p>
      <w:pPr>
        <w:pStyle w:val="Heading3"/>
      </w:pPr>
      <w:r>
        <w:rPr>
          <w:rFonts w:ascii="Times New Roman" w:hAnsi="Times New Roman"/>
        </w:rPr>
        <w:t>8. Wesentliche Voraussetzungen für Closing</w:t>
      </w:r>
    </w:p>
    <w:p>
      <w:pPr>
        <w:pStyle w:val="ListBullet"/>
      </w:pPr>
      <w:r>
        <w:t>Fusionskontrollfreigabe BKartA (GWB § 39 ff.) oder Nichtuntersagung nach Fristablauf</w:t>
      </w:r>
    </w:p>
    <w:p>
      <w:pPr>
        <w:pStyle w:val="ListBullet"/>
      </w:pPr>
      <w:r>
        <w:t>Genehmigung EIB als Darlehensgeber (Change-of-Control-Klausel im Darlehensvertrag)</w:t>
      </w:r>
    </w:p>
    <w:p>
      <w:pPr>
        <w:pStyle w:val="ListBullet"/>
      </w:pPr>
      <w:r>
        <w:t>Keine Material Adverse Change eingetreten</w:t>
      </w:r>
    </w:p>
    <w:p>
      <w:pPr>
        <w:pStyle w:val="ListBullet"/>
      </w:pPr>
      <w:r>
        <w:t>Abgeschlossene und akzeptierte Disclosure Schedules</w:t>
      </w:r>
    </w:p>
    <w:p>
      <w:pPr>
        <w:pStyle w:val="Heading3"/>
      </w:pPr>
      <w:r>
        <w:rPr>
          <w:rFonts w:ascii="Times New Roman" w:hAnsi="Times New Roman"/>
        </w:rPr>
        <w:t>9. Gerichtsstand und anwendbares Recht</w:t>
      </w:r>
    </w:p>
    <w:p>
      <w:pPr>
        <w:jc w:val="left"/>
      </w:pPr>
      <w:r>
        <w:t>Deutsches Recht; Gerichtsstand Berlin.</w:t>
      </w:r>
    </w:p>
    <w:p/>
    <w:p>
      <w:pPr>
        <w:pStyle w:val="Heading2"/>
      </w:pPr>
      <w:r>
        <w:rPr>
          <w:rFonts w:ascii="Times New Roman" w:hAnsi="Times New Roman"/>
        </w:rPr>
        <w:t>Offene Punkte (zur Klärung im SPA)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Earn-Out EBITDA-Definition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Genaue Bereinigungen, ausserordentliche Posten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Locked-Box vs. Closing Accounts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Endgültiger Mechanismus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Change-of-Control EIB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Zustimmungserfordernis klären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GrESt-Risiko Erbbaurecht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Steuerliche Strukturierung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MAC-Klausel Energiemarkt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Definition und Carve-outs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Warranties Umfang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Katalog und Knowledge Qualifier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SPA Volkenrath Solar Eppendorf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SPA Volkenrath Solar Eppendorf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