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— Asset-Deal-Pivot wegen Grunderwerbsteuer (§ 1 Abs. 3 GrEStG)</w:t>
      </w:r>
    </w:p>
    <w:p>
      <w:pPr>
        <w:jc w:val="left"/>
      </w:pPr>
      <w:r>
        <w:rPr>
          <w:b/>
        </w:rPr>
        <w:t>AZ:</w:t>
      </w:r>
      <w:r>
        <w:t xml:space="preserve"> MR-2026-DR-0717</w:t>
      </w:r>
    </w:p>
    <w:p>
      <w:pPr>
        <w:jc w:val="left"/>
      </w:pPr>
      <w:r>
        <w:rPr>
          <w:b/>
        </w:rPr>
        <w:t>Datum:</w:t>
      </w:r>
      <w:r>
        <w:t xml:space="preserve"> 12. September 2026</w:t>
      </w:r>
    </w:p>
    <w:p>
      <w:pPr>
        <w:jc w:val="left"/>
      </w:pPr>
      <w:r>
        <w:rPr>
          <w:b/>
        </w:rPr>
        <w:t>Bearbeiter:</w:t>
      </w:r>
      <w:r>
        <w:t xml:space="preserve"> RA Dr. Henrik Roosendaal / Steuerberater Klausberg &amp; Partner (extern)</w:t>
      </w:r>
    </w:p>
    <w:p/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>Im Rahmen der Due-Diligence-Pruefung hat die steuerliche Beraterin (Klausberg &amp; Partner Steuerberatungsgesellschaft mbH) auf ein erhebliches Risiko hingewiesen: Der geplante Share-Deal (Erwerb 100% der Anteile an der Volkenrath Solar Eppendorf GmbH) könnte Grunderwerbsteuer gemäß § 1 Abs. 3 GrEStG auslösen.</w:t>
      </w:r>
    </w:p>
    <w:p/>
    <w:p>
      <w:pPr>
        <w:pStyle w:val="Heading2"/>
      </w:pPr>
      <w:r>
        <w:rPr>
          <w:rFonts w:ascii="Times New Roman" w:hAnsi="Times New Roman"/>
        </w:rPr>
        <w:t>Rechtliche Analyse § 1 Abs. 3 GrEStG</w:t>
      </w:r>
    </w:p>
    <w:p>
      <w:pPr>
        <w:pStyle w:val="Heading3"/>
      </w:pPr>
      <w:r>
        <w:rPr>
          <w:rFonts w:ascii="Times New Roman" w:hAnsi="Times New Roman"/>
        </w:rPr>
        <w:t>Tatbestand</w:t>
      </w:r>
    </w:p>
    <w:p>
      <w:pPr>
        <w:jc w:val="left"/>
      </w:pPr>
      <w:r>
        <w:t>§ 1 Abs. 3 GrEStG erfasst die mittelbare Übertragung von (mindestens 90%) der Anteile an einer Gesellschaft, die ein inländisches Grundstueck oder grundstücksgleiches Recht hält, als grunderwerbsteuerpflichtige Übertragung.</w:t>
      </w:r>
    </w:p>
    <w:p>
      <w:pPr>
        <w:jc w:val="left"/>
      </w:pPr>
      <w:r>
        <w:t>Das Erbbaurecht gilt gemäß § 2 Abs. 2 Nr. 1 GrEStG als grundstückgleiches Recht.</w:t>
      </w:r>
    </w:p>
    <w:p>
      <w:pPr>
        <w:jc w:val="left"/>
      </w:pPr>
      <w:r>
        <w:rPr>
          <w:b/>
        </w:rPr>
        <w:t>Analyse:</w:t>
      </w:r>
      <w:r>
        <w:t xml:space="preserve"> Volkenrath Solar Eppendorf GmbH hält ein Erbbaurecht über 18 ha. Steinheim Capital Partners erbt 100% der Anteile. Damit werden mittelbar 100% der Anteile an einer grundstuecksbesitzenden Gesellschaft übertragen — § 1 Abs. 3 Nr. 1 GrEStG ist erfullt.</w:t>
      </w:r>
    </w:p>
    <w:p>
      <w:pPr>
        <w:pStyle w:val="Heading3"/>
      </w:pPr>
      <w:r>
        <w:rPr>
          <w:rFonts w:ascii="Times New Roman" w:hAnsi="Times New Roman"/>
        </w:rPr>
        <w:t>Bemessungsgrundlage</w:t>
      </w:r>
    </w:p>
    <w:p>
      <w:pPr>
        <w:jc w:val="left"/>
      </w:pPr>
      <w:r>
        <w:t>Steuerpflichtig ist der Grundbesitzwert des Erbbaurechts, festgestellt nach § 157 BewG (Sachwert- oder Ertragswertverfahren). Vorläufige Schätzung: Grundbesitzwert ca. EUR 4.800.000.</w:t>
      </w:r>
    </w:p>
    <w:p>
      <w:pPr>
        <w:jc w:val="left"/>
      </w:pPr>
      <w:r>
        <w:t>Grunderwerbsteuersatz Berlin: 6,0% (seit 2014).</w:t>
      </w:r>
    </w:p>
    <w:p>
      <w:pPr>
        <w:jc w:val="left"/>
      </w:pPr>
      <w:r>
        <w:rPr>
          <w:b/>
        </w:rPr>
        <w:t>Steuerbelastung:</w:t>
      </w:r>
      <w:r>
        <w:t xml:space="preserve"> ca. EUR 288.000 GrESt.</w:t>
      </w:r>
    </w:p>
    <w:p>
      <w:pPr>
        <w:pStyle w:val="Heading3"/>
      </w:pPr>
      <w:r>
        <w:rPr>
          <w:rFonts w:ascii="Times New Roman" w:hAnsi="Times New Roman"/>
        </w:rPr>
        <w:t>Schuldner</w:t>
      </w:r>
    </w:p>
    <w:p>
      <w:pPr>
        <w:jc w:val="left"/>
      </w:pPr>
      <w:r>
        <w:t>Gemäß § 13 Nr. 5 GrEStG ist bei § 1 Abs. 3 GrEStG der Erwerber Steuerschuldner. Käufer Steinheim Capital Partners trägt die Steuerlast. Dies hat unmittelbare Auswirkungen auf Kaufpreisverhandlung (Käufer rechnet GrESt in Kaufpreis ein).</w:t>
      </w:r>
    </w:p>
    <w:p/>
    <w:p>
      <w:pPr>
        <w:pStyle w:val="Heading2"/>
      </w:pPr>
      <w:r>
        <w:rPr>
          <w:rFonts w:ascii="Times New Roman" w:hAnsi="Times New Roman"/>
        </w:rPr>
        <w:t>Pruefung Asset-Deal-Pivot</w:t>
      </w:r>
    </w:p>
    <w:p>
      <w:pPr>
        <w:pStyle w:val="Heading3"/>
      </w:pPr>
      <w:r>
        <w:rPr>
          <w:rFonts w:ascii="Times New Roman" w:hAnsi="Times New Roman"/>
        </w:rPr>
        <w:t>Option A — Beibehaltung Share-Deal</w:t>
      </w:r>
    </w:p>
    <w:p>
      <w:pPr>
        <w:jc w:val="left"/>
      </w:pPr>
      <w:r>
        <w:t>Käufer übernimmt GrESt (ca. EUR 288.000); Kaufpreis entsprechend angepasst. Einfachste Lösung. Nachteil: GrESt-Belastung für Käufer; politisch heikel, da Käufer GrESt ggf. vom Kaufpreis abzieht.</w:t>
      </w:r>
    </w:p>
    <w:p>
      <w:pPr>
        <w:pStyle w:val="Heading3"/>
      </w:pPr>
      <w:r>
        <w:rPr>
          <w:rFonts w:ascii="Times New Roman" w:hAnsi="Times New Roman"/>
        </w:rPr>
        <w:t>Option B — Asset-Deal-Pivot</w:t>
      </w:r>
    </w:p>
    <w:p>
      <w:pPr>
        <w:jc w:val="left"/>
      </w:pPr>
      <w:r>
        <w:t>Statt Anteilsabtretung: Übertragung aller wesentlichen Vermögenswerte des SPV auf Käufer (oder Käufer-Zweckgesellschaft) im Wege des Asset-Deals.</w:t>
      </w:r>
    </w:p>
    <w:p>
      <w:pPr>
        <w:jc w:val="left"/>
      </w:pPr>
      <w:r>
        <w:rPr>
          <w:b/>
        </w:rPr>
        <w:t>Vorteile Asset-Deal:</w:t>
      </w:r>
    </w:p>
    <w:p>
      <w:pPr>
        <w:pStyle w:val="ListBullet"/>
      </w:pPr>
      <w:r>
        <w:t>§ 1 Abs. 3 GrEStG greift nicht, wenn keine Gesellschaft mit Grundbesitz erworben wird</w:t>
      </w:r>
    </w:p>
    <w:p>
      <w:pPr>
        <w:pStyle w:val="ListBullet"/>
      </w:pPr>
      <w:r>
        <w:t>Direktübertragung Erbbaurecht auf Käufer: gemäß § 1 Abs. 1 Nr. 2 GrEStG grunderwerbsteuerpflichtig — aber Bemessungsgrundlage ggf. niedriger</w:t>
      </w:r>
    </w:p>
    <w:p>
      <w:pPr>
        <w:jc w:val="left"/>
      </w:pPr>
      <w:r>
        <w:rPr>
          <w:b/>
        </w:rPr>
        <w:t>Nachteile und Risiken Asset-Deal:</w:t>
      </w:r>
    </w:p>
    <w:p>
      <w:pPr>
        <w:pStyle w:val="ListBullet"/>
      </w:pPr>
      <w:r>
        <w:t>HGB § 25: Erwerber von Handelsgeschäft haftet für Verbindlichkeiten (Change of Position erforderlich)</w:t>
      </w:r>
    </w:p>
    <w:p>
      <w:pPr>
        <w:pStyle w:val="ListBullet"/>
      </w:pPr>
      <w:r>
        <w:t>Alle Genehmigungen (BImSchG-Genehmigung Solarpark, Netzanschlussvertrag) sind nicht automatisch übertragbar; behördliche Neuerteilung/Umschreibung erforderlich</w:t>
      </w:r>
    </w:p>
    <w:p>
      <w:pPr>
        <w:pStyle w:val="ListBullet"/>
      </w:pPr>
      <w:r>
        <w:t>EEG-Einspeisevergütung: Übertragung EEG-Vertrag bedürftig der Zustimmung Netzbetreiber</w:t>
      </w:r>
    </w:p>
    <w:p>
      <w:pPr>
        <w:pStyle w:val="ListBullet"/>
      </w:pPr>
      <w:r>
        <w:t>EIB-Darlehen: Rückzahlung oder Umschreibung erforderlich (Change-of-Control-Klausel)</w:t>
      </w:r>
    </w:p>
    <w:p>
      <w:pPr>
        <w:pStyle w:val="ListBullet"/>
      </w:pPr>
      <w:r>
        <w:t>Zeitaufwand deutlich höher (3-6 Monate mehr als Share-Deal)</w:t>
      </w:r>
    </w:p>
    <w:p>
      <w:pPr>
        <w:pStyle w:val="Heading3"/>
      </w:pPr>
      <w:r>
        <w:rPr>
          <w:rFonts w:ascii="Times New Roman" w:hAnsi="Times New Roman"/>
        </w:rPr>
        <w:t>Option C — Strukturierte Kombination (Hybrid)</w:t>
      </w:r>
    </w:p>
    <w:p>
      <w:pPr>
        <w:jc w:val="left"/>
      </w:pPr>
      <w:r>
        <w:t xml:space="preserve">Anteilsabtretung 89% (unter 90%-Schwelle des § 1 Abs. 3 GrEStG), restliche 11% später nach Ablauf der Vorbehaltensfrist. </w:t>
      </w:r>
      <w:r>
        <w:rPr>
          <w:b/>
        </w:rPr>
        <w:t>Achtung:</w:t>
      </w:r>
      <w:r>
        <w:t xml:space="preserve"> § 1 Abs. 3a GrEStG (Ergänzungstatbestand) und § 6a GrEStG prüfen.</w:t>
      </w:r>
    </w:p>
    <w:p>
      <w:pPr>
        <w:jc w:val="left"/>
      </w:pPr>
      <w:r>
        <w:rPr>
          <w:b/>
        </w:rPr>
        <w:t>Bewertung:</w:t>
      </w:r>
      <w:r>
        <w:t xml:space="preserve"> Rechtsprechungsrisiko erheblich; BFH hat Gestaltungsmissbrauch (§ 42 AO) bei dieser Struktur erwägt. Nicht empfohlen.</w:t>
      </w:r>
    </w:p>
    <w:p/>
    <w:p>
      <w:pPr>
        <w:pStyle w:val="Heading2"/>
      </w:pPr>
      <w:r>
        <w:rPr>
          <w:rFonts w:ascii="Times New Roman" w:hAnsi="Times New Roman"/>
        </w:rPr>
        <w:t>Verbindliche Auskunft FA Berlin-Mitte</w:t>
      </w:r>
    </w:p>
    <w:p>
      <w:pPr>
        <w:jc w:val="left"/>
      </w:pPr>
      <w:r>
        <w:t>Um Rechtsklarheit zu schaffen, hat Kanzlei am 12.09.2026 einen Antrag auf verbindliche Auskunft (§ 89 Abs. 2 AO) beim Finanzamt Berlin-Mitte eingereicht (AZ: VB-GrESt-2026-0412). Gebühr gemäß § 89 Abs. 3-5 AO i.V.m. § 1 GebOSt: ca. EUR 5.216 (Streitwert EUR 288.000).</w:t>
      </w:r>
    </w:p>
    <w:p/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Verkaeuferseite empfiehlt Beibehaltung Share-Deal (Option A) mit expliziter Kaufpreisreduktion um GrESt-Betrag oder Parteieinigung über GrESt-Tragung. Asset-Deal-Pivot (Option B) nur, wenn GrESt-Betrag nach abschliessender Bewertung wesentlich höher ausfällt und Zeitplan Closing dadurch nicht gefährdet wird.</w:t>
      </w:r>
    </w:p>
    <w:p>
      <w:pPr>
        <w:jc w:val="left"/>
      </w:pPr>
      <w:r>
        <w:rPr>
          <w:b/>
        </w:rPr>
        <w:t>Entscheidung: Mandantin muss bis 30.09.2026 Richtungsentscheidung treffen.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Steuerberater Klausberg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STEUERBERATER KLAUSBERG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