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11 — AGB-Pruefung: Engineering-Servicevertrag (§§ 305 ff. BGB)</w:t>
      </w:r>
    </w:p>
    <w:p>
      <w:pPr>
        <w:jc w:val="left"/>
      </w:pPr>
      <w:r>
        <w:rPr>
          <w:b/>
        </w:rPr>
        <w:t>AZ:</w:t>
      </w:r>
      <w:r>
        <w:t xml:space="preserve"> MR-2026-DR-0717</w:t>
      </w:r>
    </w:p>
    <w:p>
      <w:pPr>
        <w:jc w:val="left"/>
      </w:pPr>
      <w:r>
        <w:rPr>
          <w:b/>
        </w:rPr>
        <w:t>Datum:</w:t>
      </w:r>
      <w:r>
        <w:t xml:space="preserve"> 10. August 2026</w:t>
      </w:r>
    </w:p>
    <w:p>
      <w:pPr>
        <w:jc w:val="left"/>
      </w:pPr>
      <w:r>
        <w:rPr>
          <w:b/>
        </w:rPr>
        <w:t>Gegenstand:</w:t>
      </w:r>
      <w:r>
        <w:t xml:space="preserve"> Engineering-Servicevertrag zwischen Volkenrath Solar Eppendorf GmbH und SolarService GmbH, datiert 15.01.2021 (Anlage 7 SPA)</w:t>
      </w:r>
    </w:p>
    <w:p>
      <w:pPr>
        <w:jc w:val="left"/>
      </w:pPr>
      <w:r>
        <w:rPr>
          <w:b/>
        </w:rPr>
        <w:t>Bearbeiter:</w:t>
      </w:r>
      <w:r>
        <w:t xml:space="preserve"> Senior Associate Dr. (iur.) Mira Pohlmann</w:t>
      </w:r>
    </w:p>
    <w:p/>
    <w:p>
      <w:pPr>
        <w:pStyle w:val="Heading2"/>
      </w:pPr>
      <w:r>
        <w:rPr>
          <w:rFonts w:ascii="Times New Roman" w:hAnsi="Times New Roman"/>
        </w:rPr>
        <w:t>Ausgangslage</w:t>
      </w:r>
    </w:p>
    <w:p>
      <w:pPr>
        <w:jc w:val="left"/>
      </w:pPr>
      <w:r>
        <w:t>Der Engineering-Servicevertrag (ESV) zwischen der Volkenrath Solar Eppendorf GmbH (Auftraggeber) und der SolarService GmbH (Auftragnehmer, sog. EPC-artiger Wartungsdienstleister) ist als Anlage 7 dem SPA beigefügt. Der Vertrag läuft bis 2031 (Restlaufzeit ca. 5 Jahre) und ist für den Solarpark-Betrieb essenziell.</w:t>
      </w:r>
    </w:p>
    <w:p>
      <w:pPr>
        <w:jc w:val="left"/>
      </w:pPr>
      <w:r>
        <w:t>Im Rahmen der Legal-Due-Diligence wurde festgestellt, dass der ESV massgeblich von AGB der SolarService GmbH (Verwender) geprägt ist. Die AGB-Pruefung erfolgt gemäß §§ 305 ff. BGB.</w:t>
      </w:r>
    </w:p>
    <w:p/>
    <w:p>
      <w:pPr>
        <w:pStyle w:val="Heading2"/>
      </w:pPr>
      <w:r>
        <w:rPr>
          <w:rFonts w:ascii="Times New Roman" w:hAnsi="Times New Roman"/>
        </w:rPr>
        <w:t>AGB-Einbeziehung (§ 305 Abs. 2 BGB)</w:t>
      </w:r>
    </w:p>
    <w:p>
      <w:pPr>
        <w:jc w:val="left"/>
      </w:pPr>
      <w:r>
        <w:t>Die Allgemeinen Geschäftsbedingungen der SolarService GmbH wurden auf der letzten Seite des ESV als "Allgemeine Lieferbedingungen SolarService GmbH, Stand Januar 2020" einbezogen. Ausdrücklicher Hinweis bei Vertragsschluss sowie Einräumung der Möglichkeit zur Kenntnisnahme — Einbeziehungsvoraussetzungen gemäß § 305 Abs. 2 Nr. 1, 2 BGB prima facie erfüllt. Keine Überraschungsklauseln i.S.d. § 305c Abs. 1 BGB identifiziert.</w:t>
      </w:r>
    </w:p>
    <w:p/>
    <w:p>
      <w:pPr>
        <w:pStyle w:val="Heading2"/>
      </w:pPr>
      <w:r>
        <w:rPr>
          <w:rFonts w:ascii="Times New Roman" w:hAnsi="Times New Roman"/>
        </w:rPr>
        <w:t>Inhaltskontrolle: Prüfergebnis</w:t>
      </w:r>
    </w:p>
    <w:p>
      <w:pPr>
        <w:pStyle w:val="Heading3"/>
      </w:pPr>
      <w:r>
        <w:rPr>
          <w:rFonts w:ascii="Times New Roman" w:hAnsi="Times New Roman"/>
        </w:rPr>
        <w:t>Klausel 8.1 — Haftungsausschluss für leichte Fahrlässigkeit (RED)</w:t>
      </w:r>
    </w:p>
    <w:p>
      <w:pPr>
        <w:jc w:val="left"/>
      </w:pPr>
      <w:r>
        <w:rPr>
          <w:b/>
        </w:rPr>
        <w:t>Wortlaut:</w:t>
      </w:r>
      <w:r>
        <w:t xml:space="preserve"> "SolarService haftet nicht für Schäden, die durch leichte Fahrlässigkeit entstehen, sofern es sich nicht um Personenkörperschäden oder die Verletzung wesentlicher Vertragspflichten handelt."</w:t>
      </w:r>
    </w:p>
    <w:p>
      <w:pPr>
        <w:jc w:val="left"/>
      </w:pPr>
      <w:r>
        <w:rPr>
          <w:b/>
        </w:rPr>
        <w:t>Pruefung:</w:t>
      </w:r>
    </w:p>
    <w:p>
      <w:pPr>
        <w:pStyle w:val="ListBullet"/>
      </w:pPr>
      <w:r>
        <w:t>Haftungsausschluss für leichte Fahrlässigkeit bei kardinalen Pflichten (Kardinalpflichten = wesentliche Vertragspflichten) ist nach stRspr. BGH unwirksam, soweit die Formulierung auch Kardinalpflichtverletzungen erfassen soll (§ 307 Abs. 2 Nr. 2 BGB)</w:t>
      </w:r>
    </w:p>
    <w:p>
      <w:pPr>
        <w:pStyle w:val="ListBullet"/>
      </w:pPr>
      <w:r>
        <w:t>Vorliegend: Klausel versucht Haftung für leichte Fahrlässigkeit generell auszuschliessen, Ausnahme wesentliche Vertragspflichten — aber Formulierung "sofern es sich nicht um ... die Verletzung wesentlicher Vertragspflichten handelt" ist positiv ausgenommen</w:t>
      </w:r>
    </w:p>
    <w:p>
      <w:pPr>
        <w:pStyle w:val="ListBullet"/>
      </w:pPr>
      <w:r>
        <w:rPr>
          <w:b/>
        </w:rPr>
        <w:t>Ergebnis:</w:t>
      </w:r>
      <w:r>
        <w:t xml:space="preserve"> Klausel ist im Grundsatz wirksam, wenn Kardinalpflichten-Ausnahme klar greift. Jedoch: Höchstbetragsbeschränkung in Klausel 8.2 kumuliert (dazu unten).</w:t>
      </w:r>
    </w:p>
    <w:p>
      <w:pPr>
        <w:jc w:val="left"/>
      </w:pPr>
      <w:r>
        <w:rPr>
          <w:b/>
        </w:rPr>
        <w:t>Empfehlung:</w:t>
      </w:r>
      <w:r>
        <w:t xml:space="preserve"> Als Disclosure aufnehmen (Anlage Disclosure Schedules); Verkäufer weist auf Klauselrisiko hin.</w:t>
      </w:r>
    </w:p>
    <w:p>
      <w:pPr>
        <w:pStyle w:val="Heading3"/>
      </w:pPr>
      <w:r>
        <w:rPr>
          <w:rFonts w:ascii="Times New Roman" w:hAnsi="Times New Roman"/>
        </w:rPr>
        <w:t>Klausel 8.2 — Haftungshöchstbetrag EUR 150.000 (RED)</w:t>
      </w:r>
    </w:p>
    <w:p>
      <w:pPr>
        <w:jc w:val="left"/>
      </w:pPr>
      <w:r>
        <w:rPr>
          <w:b/>
        </w:rPr>
        <w:t>Wortlaut:</w:t>
      </w:r>
      <w:r>
        <w:t xml:space="preserve"> "Die Haftung der SolarService GmbH ist in jedem Fall auf EUR 150.000 begrenzt, unabhängig vom tatsächlichen Schaden."</w:t>
      </w:r>
    </w:p>
    <w:p>
      <w:pPr>
        <w:jc w:val="left"/>
      </w:pPr>
      <w:r>
        <w:rPr>
          <w:b/>
        </w:rPr>
        <w:t>Pruefung:</w:t>
      </w:r>
    </w:p>
    <w:p>
      <w:pPr>
        <w:pStyle w:val="ListBullet"/>
      </w:pPr>
      <w:r>
        <w:t>Pauschalierter Höchstbetrag bei Vertragsvolumen von ca. EUR 1.200.000/Jahr und Abhängigkeit der SPV von diesem Vertrag</w:t>
      </w:r>
    </w:p>
    <w:p>
      <w:pPr>
        <w:pStyle w:val="ListBullet"/>
      </w:pPr>
      <w:r>
        <w:t>Kumuliert mit Klausel 8.1: Faktisch haftungsfreistellung für typische Vertragsverloetzungen</w:t>
      </w:r>
    </w:p>
    <w:p>
      <w:pPr>
        <w:pStyle w:val="ListBullet"/>
      </w:pPr>
      <w:r>
        <w:t>BGH: Globaler Haftungsdeckel in AGB unwirksam, wenn er in der Kombination mit anderen Haftungsklauseln zu einer unangemessenen Benachteiligung des Vertragspartners führt (§ 307 Abs. 1 BGB)</w:t>
      </w:r>
    </w:p>
    <w:p>
      <w:pPr>
        <w:pStyle w:val="ListBullet"/>
      </w:pPr>
      <w:r>
        <w:rPr>
          <w:b/>
        </w:rPr>
        <w:t>Ergebnis:</w:t>
      </w:r>
      <w:r>
        <w:t xml:space="preserve"> Klausel 8.2 ist nach § 307 Abs. 1 BGB </w:t>
      </w:r>
      <w:r>
        <w:rPr>
          <w:b/>
        </w:rPr>
        <w:t>unwirksam</w:t>
      </w:r>
      <w:r>
        <w:t xml:space="preserve"> bei kumulierter Betrachtung mit Klausel 8.1</w:t>
      </w:r>
    </w:p>
    <w:p>
      <w:pPr>
        <w:jc w:val="left"/>
      </w:pPr>
      <w:r>
        <w:rPr>
          <w:b/>
        </w:rPr>
        <w:t>Empfehlung:</w:t>
      </w:r>
      <w:r>
        <w:t xml:space="preserve"> RED — Verkäufer sollte Neuverhandlung des ESV mit SolarService GmbH anstossen oder Klausel als Warranty-Ausnahme im SPA aufnehmen.</w:t>
      </w:r>
    </w:p>
    <w:p>
      <w:pPr>
        <w:pStyle w:val="Heading3"/>
      </w:pPr>
      <w:r>
        <w:rPr>
          <w:rFonts w:ascii="Times New Roman" w:hAnsi="Times New Roman"/>
        </w:rPr>
        <w:t>Klausel 9.4 — Einseitige Änderungsbefugnis SolarService (RED)</w:t>
      </w:r>
    </w:p>
    <w:p>
      <w:pPr>
        <w:jc w:val="left"/>
      </w:pPr>
      <w:r>
        <w:rPr>
          <w:b/>
        </w:rPr>
        <w:t>Wortlaut:</w:t>
      </w:r>
      <w:r>
        <w:t xml:space="preserve"> "SolarService behält sich das Recht vor, die Leistungsbeschreibung und Servicerate bei Kostenänderungen mit 30-taegiger Vorankündigung anzupassen."</w:t>
      </w:r>
    </w:p>
    <w:p>
      <w:pPr>
        <w:jc w:val="left"/>
      </w:pPr>
      <w:r>
        <w:rPr>
          <w:b/>
        </w:rPr>
        <w:t>Pruefung:</w:t>
      </w:r>
    </w:p>
    <w:p>
      <w:pPr>
        <w:pStyle w:val="ListBullet"/>
      </w:pPr>
      <w:r>
        <w:t>Einseitiges Leistungsbestimmungsrecht: § 308 Nr. 4 BGB (Änderungsvorbehalt bei Dienstleistungen)</w:t>
      </w:r>
    </w:p>
    <w:p>
      <w:pPr>
        <w:pStyle w:val="ListBullet"/>
      </w:pPr>
      <w:r>
        <w:t>§ 308 Nr. 4 BGB erlaubt Änderungsvorbehalte nur, wenn Änderung dem Vertragspartner zumutbar ist, der Vorbehalt aus berechtigtem Interesse des Verwenders gerechtfertigt ist und die Änderung verhaeltnismaessig ist</w:t>
      </w:r>
    </w:p>
    <w:p>
      <w:pPr>
        <w:pStyle w:val="ListBullet"/>
      </w:pPr>
      <w:r>
        <w:t>30-Tage-Vorankündigung bei laufendem Betrieb eines Solarparks: zu kurz (kein ausreichender Zeitpuffer für Alternativbeschaffung)</w:t>
      </w:r>
    </w:p>
    <w:p>
      <w:pPr>
        <w:pStyle w:val="ListBullet"/>
      </w:pPr>
      <w:r>
        <w:t>Kein Kündigungsrecht bei Leistungsänderung vorgesehen</w:t>
      </w:r>
    </w:p>
    <w:p>
      <w:pPr>
        <w:pStyle w:val="ListBullet"/>
      </w:pPr>
      <w:r>
        <w:rPr>
          <w:b/>
        </w:rPr>
        <w:t>Ergebnis:</w:t>
      </w:r>
      <w:r>
        <w:t xml:space="preserve"> Klausel 9.4 ist nach § 308 Nr. 4 BGB </w:t>
      </w:r>
      <w:r>
        <w:rPr>
          <w:b/>
        </w:rPr>
        <w:t>unwirksam</w:t>
      </w:r>
    </w:p>
    <w:p>
      <w:pPr>
        <w:jc w:val="left"/>
      </w:pPr>
      <w:r>
        <w:rPr>
          <w:b/>
        </w:rPr>
        <w:t>Empfehlung:</w:t>
      </w:r>
      <w:r>
        <w:t xml:space="preserve"> RED — Klausel 9.4 ist unwirksam. Offenlegung im Disclosure Schedule und Warranty in SPA anpassen.</w:t>
      </w:r>
    </w:p>
    <w:p>
      <w:pPr>
        <w:pStyle w:val="Heading3"/>
      </w:pPr>
      <w:r>
        <w:rPr>
          <w:rFonts w:ascii="Times New Roman" w:hAnsi="Times New Roman"/>
        </w:rPr>
        <w:t>Klausel 11.3 — Gerichtsstand SolarService-Sitz (YELLOW)</w:t>
      </w:r>
    </w:p>
    <w:p>
      <w:pPr>
        <w:jc w:val="left"/>
      </w:pPr>
      <w:r>
        <w:rPr>
          <w:b/>
        </w:rPr>
        <w:t>Wortlaut:</w:t>
      </w:r>
      <w:r>
        <w:t xml:space="preserve"> "Gerichtsstand ist der Sitz der SolarService GmbH (Hamburg)."</w:t>
      </w:r>
    </w:p>
    <w:p>
      <w:pPr>
        <w:jc w:val="left"/>
      </w:pPr>
      <w:r>
        <w:rPr>
          <w:b/>
        </w:rPr>
        <w:t>Pruefung:</w:t>
      </w:r>
      <w:r>
        <w:t xml:space="preserve"> Im kaufmännischen Verkehr (§ 38 ZPO) zulässig; kein Verstoss gegen § 305c BGB (nicht überraschend). Für Mandantin aber nachteilig.</w:t>
      </w:r>
    </w:p>
    <w:p>
      <w:pPr>
        <w:jc w:val="left"/>
      </w:pPr>
      <w:r>
        <w:rPr>
          <w:b/>
        </w:rPr>
        <w:t>Empfehlung:</w:t>
      </w:r>
      <w:r>
        <w:t xml:space="preserve"> Keine AGB-Unwirksamkeit; bei nächster regulärer Vertragsverlängerung Verhandlung Gerichtsstand Berlin.</w:t>
      </w:r>
    </w:p>
    <w:p/>
    <w:p>
      <w:pPr>
        <w:pStyle w:val="Heading2"/>
      </w:pPr>
      <w:r>
        <w:rPr>
          <w:rFonts w:ascii="Times New Roman" w:hAnsi="Times New Roman"/>
        </w:rPr>
        <w:t>Zusammenfassung AGB-Pruefung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Klausel</w:t>
            </w:r>
          </w:p>
        </w:tc>
        <w:tc>
          <w:tcPr>
            <w:tcW w:type="dxa" w:w="3024"/>
          </w:tcPr>
          <w:p>
            <w:r>
              <w:rPr>
                <w:rFonts w:ascii="Times New Roman" w:hAnsi="Times New Roman"/>
                <w:b/>
                <w:sz w:val="20"/>
              </w:rPr>
              <w:t>Rechtliche Beurteilung</w:t>
            </w:r>
          </w:p>
        </w:tc>
        <w:tc>
          <w:tcPr>
            <w:tcW w:type="dxa" w:w="3024"/>
          </w:tcPr>
          <w:p>
            <w:r>
              <w:rPr>
                <w:rFonts w:ascii="Times New Roman" w:hAnsi="Times New Roman"/>
                <w:b/>
                <w:sz w:val="20"/>
              </w:rPr>
              <w:t>Handlungsbedarf</w:t>
            </w:r>
          </w:p>
        </w:tc>
      </w:tr>
      <w:tr>
        <w:tc>
          <w:tcPr>
            <w:tcW w:type="dxa" w:w="3024"/>
          </w:tcPr>
          <w:p>
            <w:r>
              <w:rPr>
                <w:rFonts w:ascii="Times New Roman" w:hAnsi="Times New Roman"/>
                <w:sz w:val="20"/>
              </w:rPr>
              <w:t>8.1 Haftungsausschluss leichte Fahrlässigkeit</w:t>
            </w:r>
          </w:p>
        </w:tc>
        <w:tc>
          <w:tcPr>
            <w:tcW w:type="dxa" w:w="3024"/>
          </w:tcPr>
          <w:p>
            <w:r>
              <w:rPr>
                <w:rFonts w:ascii="Times New Roman" w:hAnsi="Times New Roman"/>
                <w:sz w:val="20"/>
              </w:rPr>
              <w:t>Bedingt wirksam</w:t>
            </w:r>
          </w:p>
        </w:tc>
        <w:tc>
          <w:tcPr>
            <w:tcW w:type="dxa" w:w="3024"/>
          </w:tcPr>
          <w:p>
            <w:r>
              <w:rPr>
                <w:rFonts w:ascii="Times New Roman" w:hAnsi="Times New Roman"/>
                <w:sz w:val="20"/>
              </w:rPr>
              <w:t>Disclosure</w:t>
            </w:r>
          </w:p>
        </w:tc>
      </w:tr>
      <w:tr>
        <w:tc>
          <w:tcPr>
            <w:tcW w:type="dxa" w:w="3024"/>
          </w:tcPr>
          <w:p>
            <w:r>
              <w:rPr>
                <w:rFonts w:ascii="Times New Roman" w:hAnsi="Times New Roman"/>
                <w:sz w:val="20"/>
              </w:rPr>
              <w:t>8.2 Haftungshöchstbetrag EUR 150.000</w:t>
            </w:r>
          </w:p>
        </w:tc>
        <w:tc>
          <w:tcPr>
            <w:tcW w:type="dxa" w:w="3024"/>
          </w:tcPr>
          <w:p>
            <w:r>
              <w:rPr>
                <w:rFonts w:ascii="Times New Roman" w:hAnsi="Times New Roman"/>
                <w:sz w:val="20"/>
              </w:rPr>
              <w:t>Unwirksam (§ 307 BGB)</w:t>
            </w:r>
          </w:p>
        </w:tc>
        <w:tc>
          <w:tcPr>
            <w:tcW w:type="dxa" w:w="3024"/>
          </w:tcPr>
          <w:p>
            <w:r>
              <w:rPr>
                <w:rFonts w:ascii="Times New Roman" w:hAnsi="Times New Roman"/>
                <w:sz w:val="20"/>
              </w:rPr>
              <w:t>RED — Neuverhandlung</w:t>
            </w:r>
          </w:p>
        </w:tc>
      </w:tr>
      <w:tr>
        <w:tc>
          <w:tcPr>
            <w:tcW w:type="dxa" w:w="3024"/>
          </w:tcPr>
          <w:p>
            <w:r>
              <w:rPr>
                <w:rFonts w:ascii="Times New Roman" w:hAnsi="Times New Roman"/>
                <w:sz w:val="20"/>
              </w:rPr>
              <w:t>9.4 Einseitiger Änderungsvorbehalt</w:t>
            </w:r>
          </w:p>
        </w:tc>
        <w:tc>
          <w:tcPr>
            <w:tcW w:type="dxa" w:w="3024"/>
          </w:tcPr>
          <w:p>
            <w:r>
              <w:rPr>
                <w:rFonts w:ascii="Times New Roman" w:hAnsi="Times New Roman"/>
                <w:sz w:val="20"/>
              </w:rPr>
              <w:t>Unwirksam (§ 308 Nr. 4 BGB)</w:t>
            </w:r>
          </w:p>
        </w:tc>
        <w:tc>
          <w:tcPr>
            <w:tcW w:type="dxa" w:w="3024"/>
          </w:tcPr>
          <w:p>
            <w:r>
              <w:rPr>
                <w:rFonts w:ascii="Times New Roman" w:hAnsi="Times New Roman"/>
                <w:sz w:val="20"/>
              </w:rPr>
              <w:t>RED — Neuverhandlung</w:t>
            </w:r>
          </w:p>
        </w:tc>
      </w:tr>
      <w:tr>
        <w:tc>
          <w:tcPr>
            <w:tcW w:type="dxa" w:w="3024"/>
          </w:tcPr>
          <w:p>
            <w:r>
              <w:rPr>
                <w:rFonts w:ascii="Times New Roman" w:hAnsi="Times New Roman"/>
                <w:sz w:val="20"/>
              </w:rPr>
              <w:t>11.3 Gerichtsstand Hamburg</w:t>
            </w:r>
          </w:p>
        </w:tc>
        <w:tc>
          <w:tcPr>
            <w:tcW w:type="dxa" w:w="3024"/>
          </w:tcPr>
          <w:p>
            <w:r>
              <w:rPr>
                <w:rFonts w:ascii="Times New Roman" w:hAnsi="Times New Roman"/>
                <w:sz w:val="20"/>
              </w:rPr>
              <w:t>Wirksam (§ 38 ZPO)</w:t>
            </w:r>
          </w:p>
        </w:tc>
        <w:tc>
          <w:tcPr>
            <w:tcW w:type="dxa" w:w="3024"/>
          </w:tcPr>
          <w:p>
            <w:r>
              <w:rPr>
                <w:rFonts w:ascii="Times New Roman" w:hAnsi="Times New Roman"/>
                <w:sz w:val="20"/>
              </w:rPr>
              <w:t>Mittel — Verhandlung</w:t>
            </w:r>
          </w:p>
        </w:tc>
      </w:tr>
    </w:tbl>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Volkenrath Solar Eppendorf GmbH und SolarService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Volkenrath Solar Eppendorf GmbH und SolarService GmbH</w:t>
    </w:r>
  </w:p>
  <w:p>
    <w:pPr>
      <w:jc w:val="left"/>
      <w:pBdr>
        <w:bottom w:val="single" w:sz="6" w:space="2" w:color="7B2D3B"/>
      </w:pBdr>
    </w:pPr>
    <w:r>
      <w:rPr>
        <w:rFonts w:ascii="Times New Roman" w:hAnsi="Times New Roman"/>
        <w:color w:val="6B6B66"/>
        <w:sz w:val="16"/>
      </w:rPr>
      <w:t>datiert 15.01.2021 (Anlage 7 SPA)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