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Mandantenmemo: Go / No-Go-Entscheidung vor Signing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An:</w:t>
      </w:r>
      <w:r>
        <w:t xml:space="preserve"> Dr. Claudia Volkenrath-Eichmueller (CEO) und Dr. Franziska Schwingenstein-Pohlmann (GC)</w:t>
      </w:r>
    </w:p>
    <w:p>
      <w:pPr>
        <w:jc w:val="left"/>
      </w:pPr>
      <w:r>
        <w:rPr>
          <w:b/>
        </w:rPr>
        <w:t>Von:</w:t>
      </w:r>
      <w:r>
        <w:t xml:space="preserve"> RA Dr. Henrik Roosendaal, Roosendaal Birkenhainer Partners mbB</w:t>
      </w:r>
    </w:p>
    <w:p>
      <w:pPr>
        <w:jc w:val="left"/>
      </w:pPr>
      <w:r>
        <w:rPr>
          <w:b/>
        </w:rPr>
        <w:t>Datum:</w:t>
      </w:r>
      <w:r>
        <w:t xml:space="preserve"> 12. Oktober 2026</w:t>
      </w:r>
    </w:p>
    <w:p>
      <w:pPr>
        <w:jc w:val="left"/>
      </w:pPr>
      <w:r>
        <w:rPr>
          <w:b/>
        </w:rPr>
        <w:t>Vertraulich — anwaltliche Kommunikation</w:t>
      </w:r>
    </w:p>
    <w:p/>
    <w:p>
      <w:pPr>
        <w:pStyle w:val="Heading2"/>
      </w:pPr>
      <w:r>
        <w:rPr>
          <w:rFonts w:ascii="Times New Roman" w:hAnsi="Times New Roman"/>
        </w:rPr>
        <w:t>Zweck dieses Memos</w:t>
      </w:r>
    </w:p>
    <w:p>
      <w:pPr>
        <w:jc w:val="left"/>
      </w:pPr>
      <w:r>
        <w:t>Dieses Memo bereitet die Go / No-Go-Entscheidung der Mandantin vor dem geplanten Signing des Share Purchase Agreement vor. Es fasst die wesentlichen Verhandlungsergebnisse zusammen, bewertet verbleibende Risiken und gibt eine Empfehlung.</w:t>
      </w:r>
    </w:p>
    <w:p/>
    <w:p>
      <w:pPr>
        <w:pStyle w:val="Heading2"/>
      </w:pPr>
      <w:r>
        <w:rPr>
          <w:rFonts w:ascii="Times New Roman" w:hAnsi="Times New Roman"/>
        </w:rPr>
        <w:t>Zusammenfassung Verhandlungsergebnisse SPA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Verkäufer-Ziel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Erreichtes 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Kaufpreis / Locked-Box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38 Mio., Locked-Box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38 Mio., Locked-Box wie Term Sheet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Earn-Out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Max. EUR 3,5 Mio., eigene EBITDA-Def.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3,5 Mio.; EBITDA-Def. mit Earn-Out Protection Covenants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Befriedigend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Knowledge Qualifier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 5 Personen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 5 Personen (wie gefordert)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MAC-Klausel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Energiemarkt-Carve-out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Carve-out erhalten; Disproportionality-Test Kompromiss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General Cap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5,7 Mio. (15%)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6,5 Mio. (ca. 17%)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Akzeptabel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Tax Cap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10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10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Basket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Deductible EUR 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Deductible EUR 400.000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Survival General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Kompromiss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Survival Tax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Jahre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AGB Engineering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RED-Klauseln identifiziert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Als Disclosure aufgenommen; keine Neuverhandlung ESV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Risiko verbleibt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Anmeldung eingereicht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I; Entscheidung erwartet bis 15.11.2026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GrESt-Auskunft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Verbindliche Auskunft beantragt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erwartet; ggf. EUR 288.000 Käufer-Last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Risikomatrix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Handlungsempfehlung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 verlängert auf Phase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(Zeitverzug 3-6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Handlungsbedarf; abwarten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GrESt-Auskunft bejaht EUR 288.000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(70%)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(Käufer reduziert Kaufpreis)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Kaufpreisadjustierung im SPA vorsorgen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EIB verweigert Zustimmung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(10%)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(CP nicht erfüllt, kein Closing)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EIB-Gespräch beschleunigen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Earn-Out-Streit 2027/2028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(30%)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(Gutachterkosten, Zeitaufwand)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W&amp;I-Versicherung prüfen; Earn-Out Protection Covenants final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AGB-Klauseln ESV unwirksam, Schaden nach Closing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(15%)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(Käufer Anspruch aus Warranty)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Disclosure Schedule vollständig; W&amp;I-Deckung beachten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Arglistiges Verschweigen (Seller's Rep)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niedrig (&lt;5%)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 (unbegrenzte Haftung)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offenen Punkte; Disclosure vollständig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rPr>
          <w:b/>
        </w:rPr>
        <w:t>Empfehlung der Kanzlei: GO</w:t>
      </w:r>
    </w:p>
    <w:p>
      <w:pPr>
        <w:jc w:val="left"/>
      </w:pPr>
      <w:r>
        <w:t>Die wesentlichen Verhandlungsziele wurden erreicht oder in akzeptablem Kompromiss abgeschlossen. Verbleibende Risiken (GrESt, BKartA, EIB) sind begrenzbar oder ausserhalb des direkten Einflusses der Mandantin.</w:t>
      </w:r>
    </w:p>
    <w:p>
      <w:pPr>
        <w:jc w:val="left"/>
      </w:pPr>
      <w:r>
        <w:t>Voraussetzungen für Signing:</w:t>
      </w:r>
    </w:p>
    <w:p>
      <w:pPr>
        <w:pStyle w:val="ListNumber"/>
      </w:pPr>
      <w:r>
        <w:t>BKartA-Freigabe (erwartet bis 15.11.2026) — oder Käufer und Verkäufer vereinbaren Signing vor Freigabe mit sogenanntem Pre-Signing-Commitment und aufgeschobenem Closing</w:t>
      </w:r>
    </w:p>
    <w:p>
      <w:pPr>
        <w:pStyle w:val="ListNumber"/>
      </w:pPr>
      <w:r>
        <w:t>EIB-Kommunikation abgeschlossen</w:t>
      </w:r>
    </w:p>
    <w:p>
      <w:pPr>
        <w:pStyle w:val="ListNumber"/>
      </w:pPr>
      <w:r>
        <w:t>Disclosure Schedules vollständig und von beiden Parteien akzeptiert</w:t>
      </w:r>
    </w:p>
    <w:p>
      <w:pPr>
        <w:pStyle w:val="ListNumber"/>
      </w:pPr>
      <w:r>
        <w:t>Kaufpreisadjustierung GrESt (EUR 288.000) bilateral vereinbart</w:t>
      </w:r>
    </w:p>
    <w:p/>
    <w:p>
      <w:pPr>
        <w:pStyle w:val="Heading2"/>
      </w:pPr>
      <w:r>
        <w:rPr>
          <w:rFonts w:ascii="Times New Roman" w:hAnsi="Times New Roman"/>
        </w:rPr>
        <w:t>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Mandantin GO / NO 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 Volkenrath-Eichmueller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EIB-Abstimmungsgespraeach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Rahming-Ostberg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Kaufpreisadjustierung GrESt mit 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Finale Fassung SPA an 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09.12.2026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Signing-Termin bestätigen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