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24 — AGB-Bereinigungsprotokoll: Engineering-Servicevertrag (Ergebnis)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25. August 2026</w:t>
      </w:r>
    </w:p>
    <w:p>
      <w:pPr>
        <w:jc w:val="left"/>
      </w:pPr>
      <w:r>
        <w:rPr>
          <w:b/>
        </w:rPr>
        <w:t>Bearbeiter:</w:t>
      </w:r>
      <w:r>
        <w:t xml:space="preserve"> Senior Associate Dr. (iur.) Mira Pohlmann</w:t>
      </w:r>
    </w:p>
    <w:p>
      <w:pPr>
        <w:jc w:val="left"/>
      </w:pPr>
      <w:r>
        <w:rPr>
          <w:b/>
        </w:rPr>
        <w:t>Bezug:</w:t>
      </w:r>
      <w:r>
        <w:t xml:space="preserve"> AGB-Pruefung Aktenstück 11 (11-agb-pruefung-engineering-vertrag.md)</w:t>
      </w:r>
    </w:p>
    <w:p/>
    <w:p>
      <w:pPr>
        <w:pStyle w:val="Heading2"/>
      </w:pPr>
      <w:r>
        <w:rPr>
          <w:rFonts w:ascii="Times New Roman" w:hAnsi="Times New Roman"/>
        </w:rPr>
        <w:t>Ergebnis der AGB-Pruefung und weiteres Vorgehen</w:t>
      </w:r>
    </w:p>
    <w:p>
      <w:pPr>
        <w:jc w:val="left"/>
      </w:pPr>
      <w:r>
        <w:t>Die AGB-Pruefung des Engineering-Servicevertrages (ESV) zwischen Volkenrath Solar Eppendorf GmbH</w:t>
      </w:r>
    </w:p>
    <w:p>
      <w:pPr>
        <w:jc w:val="left"/>
      </w:pPr>
      <w:r>
        <w:t>und SolarService GmbH (Aktenstück 11) hat drei kritische Klauseln (RED) identifiziert: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8.2 — Haftungshöchstbetrag EUR 150.000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Unwirksam (§ 307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9.4 — Einseitiger Änderungsvorbehalt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Unwirksam (§ 308 Nr. 4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8.1 — Haftungsausschluss leichte Fahrlässigkeit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Bedingt wirksam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Hinweis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Abstimmung mit Mandantin</w:t>
      </w:r>
    </w:p>
    <w:p>
      <w:pPr>
        <w:jc w:val="left"/>
      </w:pPr>
      <w:r>
        <w:t>Telefonkonferenz vom 20.08.2026 (Teilnehmer: Dr. Roosendaal, Dr. Schwingenstein-Pohlmann):</w:t>
      </w:r>
    </w:p>
    <w:p>
      <w:pPr>
        <w:jc w:val="left"/>
      </w:pPr>
      <w:r>
        <w:rPr>
          <w:b/>
        </w:rPr>
        <w:t>Entscheidung Mandantin:</w:t>
      </w:r>
      <w:r>
        <w:t xml:space="preserve"> Keine Neuverhandlung des ESV vor Closing.</w:t>
      </w:r>
    </w:p>
    <w:p>
      <w:pPr>
        <w:jc w:val="left"/>
      </w:pPr>
      <w:r>
        <w:rPr>
          <w:b/>
        </w:rPr>
        <w:t>Begründung:</w:t>
      </w:r>
    </w:p>
    <w:p>
      <w:pPr>
        <w:pStyle w:val="ListBullet"/>
      </w:pPr>
      <w:r>
        <w:t>SolarService GmbH ist einziger qualifizierter Wartungsdienstleister in der Region</w:t>
      </w:r>
    </w:p>
    <w:p>
      <w:pPr>
        <w:jc w:val="left"/>
      </w:pPr>
      <w:r>
        <w:t>(Spezialkenntnisse Solaranlagentechnik 22 MW, Erfahrung seit 2021)</w:t>
      </w:r>
    </w:p>
    <w:p>
      <w:pPr>
        <w:pStyle w:val="ListBullet"/>
      </w:pPr>
      <w:r>
        <w:t>Neuverhandlung würde mindestens 3-4 Monate dauern und Closing gefährden</w:t>
      </w:r>
    </w:p>
    <w:p>
      <w:pPr>
        <w:pStyle w:val="ListBullet"/>
      </w:pPr>
      <w:r>
        <w:t>ESV läuft noch 5 Jahre (bis 2031); nach Closing kann Käufer Neuverhandlung führen</w:t>
      </w:r>
    </w:p>
    <w:p>
      <w:pPr>
        <w:jc w:val="left"/>
      </w:pPr>
      <w:r>
        <w:rPr>
          <w:b/>
        </w:rPr>
        <w:t>Risikobewertung Mandantin:</w:t>
      </w:r>
      <w:r>
        <w:t xml:space="preserve"> akzeptabel; Haftungsrisiko limitiert durch Versicherungsschutz</w:t>
      </w:r>
    </w:p>
    <w:p>
      <w:pPr>
        <w:jc w:val="left"/>
      </w:pPr>
      <w:r>
        <w:t>(Betriebshaftpflicht SolarService GmbH, Mindestdeckung EUR 2 Mio., bestätigt durch Police-Auszug</w:t>
      </w:r>
    </w:p>
    <w:p>
      <w:pPr>
        <w:jc w:val="left"/>
      </w:pPr>
      <w:r>
        <w:t>im Datenraum, Anlage Intralinks 7.3.2).</w:t>
      </w:r>
    </w:p>
    <w:p/>
    <w:p>
      <w:pPr>
        <w:pStyle w:val="Heading2"/>
      </w:pPr>
      <w:r>
        <w:rPr>
          <w:rFonts w:ascii="Times New Roman" w:hAnsi="Times New Roman"/>
        </w:rPr>
        <w:t>Disclosure-Protokoll</w:t>
      </w:r>
    </w:p>
    <w:p>
      <w:pPr>
        <w:jc w:val="left"/>
      </w:pPr>
      <w:r>
        <w:t>Beide unwirksamen Klauseln (8.2 und 9.4) werden im Disclosure Schedule 4.11 (Anlagen SPV)</w:t>
      </w:r>
    </w:p>
    <w:p>
      <w:pPr>
        <w:jc w:val="left"/>
      </w:pPr>
      <w:r>
        <w:t>sowie im General Disclosure Letter (GDL) offengelegt:</w:t>
      </w:r>
    </w:p>
    <w:p>
      <w:pPr>
        <w:jc w:val="left"/>
      </w:pPr>
      <w:r>
        <w:rPr>
          <w:b/>
        </w:rPr>
        <w:t>DS 4.11 — Ergänzung (nach Bereinigungsprotokoll):</w:t>
      </w:r>
    </w:p>
    <w:p>
      <w:pPr>
        <w:jc w:val="left"/>
      </w:pPr>
      <w:r>
        <w:t>"Der Engineering-Servicevertrag mit der SolarService GmbH (Anlage 7 zum SPA) enthält in</w:t>
      </w:r>
    </w:p>
    <w:p>
      <w:pPr>
        <w:jc w:val="left"/>
      </w:pPr>
      <w:r>
        <w:t>Klausel 8.2 eine Haftungsbeschränkung auf EUR 150.000 und in Klausel 9.4 einen einseitigen</w:t>
      </w:r>
    </w:p>
    <w:p>
      <w:pPr>
        <w:jc w:val="left"/>
      </w:pPr>
      <w:r>
        <w:t>Änderungsvorbehalt, die nach Einschätzung der Rechtsberaterin der Verkäuferin</w:t>
      </w:r>
    </w:p>
    <w:p>
      <w:pPr>
        <w:jc w:val="left"/>
      </w:pPr>
      <w:r>
        <w:t>nach §§ 307 bzw. 308 Nr. 4 BGB unwirksam sein können. Die Verkäuferin hat vor Closing</w:t>
      </w:r>
    </w:p>
    <w:p>
      <w:pPr>
        <w:jc w:val="left"/>
      </w:pPr>
      <w:r>
        <w:t>keine Neuverhandlung dieser Klauseln eingeleitet. Der Käufer nimmt den Engineering-Service-</w:t>
      </w:r>
    </w:p>
    <w:p>
      <w:pPr>
        <w:jc w:val="left"/>
      </w:pPr>
      <w:r>
        <w:t>vertrag in seiner vorliegenden Fassung als Anlage 7 zum SPA zur Kenntnis."</w:t>
      </w:r>
    </w:p>
    <w:p>
      <w:pPr>
        <w:jc w:val="left"/>
      </w:pPr>
      <w:r>
        <w:t>Diese Offenlegung qualifiziert die Warranty W. 4.11 insoweit: Käufer kann nach Closing</w:t>
      </w:r>
    </w:p>
    <w:p>
      <w:pPr>
        <w:jc w:val="left"/>
      </w:pPr>
      <w:r>
        <w:t>aus der möglichen Unwirksamkeit der genannten Klauseln keine Warranty-Ansprüche gegen</w:t>
      </w:r>
    </w:p>
    <w:p>
      <w:pPr>
        <w:jc w:val="left"/>
      </w:pPr>
      <w:r>
        <w:t>Verkäuferin ableiten, soweit der Sachverhalt durch diese Offenlegung abgedeckt ist.</w:t>
      </w:r>
    </w:p>
    <w:p/>
    <w:p>
      <w:pPr>
        <w:pStyle w:val="Heading2"/>
      </w:pPr>
      <w:r>
        <w:rPr>
          <w:rFonts w:ascii="Times New Roman" w:hAnsi="Times New Roman"/>
        </w:rPr>
        <w:t>Handlungsempfehlung für Käufer nach Closing</w:t>
      </w:r>
    </w:p>
    <w:p>
      <w:pPr>
        <w:jc w:val="left"/>
      </w:pPr>
      <w:r>
        <w:t>Kanzlei empfiehlt Käufer (über Schäfer Schoeneberg Stoll mbB kommuniziert):</w:t>
      </w:r>
    </w:p>
    <w:p>
      <w:pPr>
        <w:pStyle w:val="ListNumber"/>
      </w:pPr>
      <w:r>
        <w:t>ESV-Neuverhandlung mit SolarService GmbH zeitnah nach Closing initiieren</w:t>
      </w:r>
    </w:p>
    <w:p>
      <w:pPr>
        <w:pStyle w:val="ListNumber"/>
      </w:pPr>
      <w:r>
        <w:t>Klausel 8.2: Haftungshöchstbetrag auf min. EUR 500.000 (angemessen zu Vertragsvolumen)</w:t>
      </w:r>
    </w:p>
    <w:p>
      <w:pPr>
        <w:pStyle w:val="ListNumber"/>
      </w:pPr>
      <w:r>
        <w:t>Klausel 9.4: Änderungsvorbehalt auf 90 Tage Vorankündigung + Kündigungsrecht ersetzen</w:t>
      </w:r>
    </w:p>
    <w:p>
      <w:pPr>
        <w:pStyle w:val="ListNumber"/>
      </w:pPr>
      <w:r>
        <w:t>Abschluss einer eigenen Betriebsunterbrechungsversicherung für den Solarpark als</w:t>
      </w:r>
    </w:p>
    <w:p>
      <w:pPr>
        <w:jc w:val="left"/>
      </w:pPr>
      <w:r>
        <w:t>Puffer gegen unzureichende Deckung SolarService GmbH</w:t>
      </w:r>
    </w:p>
    <w:p/>
    <w:p>
      <w:pPr>
        <w:pStyle w:val="Heading2"/>
      </w:pPr>
      <w:r>
        <w:rPr>
          <w:rFonts w:ascii="Times New Roman" w:hAnsi="Times New Roman"/>
        </w:rPr>
        <w:t>Aktenabschluss AGB-Pruefung</w:t>
      </w:r>
    </w:p>
    <w:p>
      <w:pPr>
        <w:jc w:val="left"/>
      </w:pPr>
      <w:r>
        <w:t>Bereinigungsprotokoll abgeschlossen. Ergebnis vollständig in Disclosure Schedules</w:t>
      </w:r>
    </w:p>
    <w:p>
      <w:pPr>
        <w:jc w:val="left"/>
      </w:pPr>
      <w:r>
        <w:t>aufgenommen. Keine weiteren offenen Punkte aus AGB-Pruefung.</w:t>
      </w:r>
    </w:p>
    <w:p>
      <w:pPr>
        <w:jc w:val="left"/>
      </w:pPr>
      <w:r>
        <w:t>Datum: 25. August 2026</w:t>
      </w:r>
    </w:p>
    <w:p>
      <w:pPr>
        <w:jc w:val="left"/>
      </w:pPr>
      <w:r>
        <w:t>Dr. (iur.) Mira Pohlmann, Senior Associate</w:t>
      </w:r>
    </w:p>
    <w:p>
      <w:pPr>
        <w:jc w:val="left"/>
      </w:pPr>
      <w:r>
        <w:t>Roosendaal Birkenhainer Partners mbB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Die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Die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