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Mandatsannahme und Vollmacht</w:t>
      </w:r>
    </w:p>
    <w:p>
      <w:pPr>
        <w:jc w:val="left"/>
      </w:pPr>
      <w:r>
        <w:rPr>
          <w:b/>
        </w:rPr>
        <w:t>Mandantin:</w:t>
      </w:r>
    </w:p>
    <w:p>
      <w:pPr>
        <w:jc w:val="left"/>
      </w:pPr>
      <w:r>
        <w:t>Baustube Meißnerlein GmbH, gesetzlich vertreten durch die Geschäftsführerin</w:t>
      </w:r>
    </w:p>
    <w:p>
      <w:pPr>
        <w:jc w:val="left"/>
      </w:pPr>
      <w:r>
        <w:t>Walpurga Meißnerlein-Hochkönig, geb. 12.06.1978</w:t>
      </w:r>
    </w:p>
    <w:p>
      <w:pPr>
        <w:jc w:val="left"/>
      </w:pPr>
      <w:r>
        <w:t>Innere Bachgasse 17, 91315 Höchstadt an der Aisch</w:t>
      </w:r>
    </w:p>
    <w:p>
      <w:pPr>
        <w:jc w:val="left"/>
      </w:pPr>
      <w:r>
        <w:rPr>
          <w:b/>
        </w:rPr>
        <w:t>Anwaltskanzlei:</w:t>
      </w:r>
    </w:p>
    <w:p>
      <w:pPr>
        <w:jc w:val="left"/>
      </w:pPr>
      <w:r>
        <w:t>Hagenroth, Quasthoff-Prügelmann &amp; Kollegen</w:t>
      </w:r>
    </w:p>
    <w:p>
      <w:pPr>
        <w:jc w:val="left"/>
      </w:pPr>
      <w:r>
        <w:t>Kanzlei für IT- und Wirtschaftsrecht</w:t>
      </w:r>
    </w:p>
    <w:p>
      <w:pPr>
        <w:jc w:val="left"/>
      </w:pPr>
      <w:r>
        <w:t>Pfaffengasse 4, 91054 Erlangen</w:t>
      </w:r>
    </w:p>
    <w:p>
      <w:pPr>
        <w:jc w:val="left"/>
      </w:pPr>
      <w:r>
        <w:rPr>
          <w:b/>
        </w:rPr>
        <w:t>Datum:</w:t>
      </w:r>
      <w:r>
        <w:t xml:space="preserve"> 02.04.2026</w:t>
      </w:r>
    </w:p>
    <w:p/>
    <w:p>
      <w:pPr>
        <w:pStyle w:val="Heading2"/>
      </w:pPr>
      <w:r>
        <w:rPr>
          <w:rFonts w:ascii="Times New Roman" w:hAnsi="Times New Roman"/>
        </w:rPr>
        <w:t>1. Gegenstand des Mandats</w:t>
      </w:r>
    </w:p>
    <w:p>
      <w:pPr>
        <w:jc w:val="left"/>
      </w:pPr>
      <w:r>
        <w:t>Vertretung in der Angelegenheit "Account-Sperre und Folgemaßnahmen gegenüber Glitzerwald Inc., Wilmington/Delaware, USA, und deren EU-Vertretung", einschließlich:</w:t>
      </w:r>
    </w:p>
    <w:p>
      <w:pPr>
        <w:pStyle w:val="ListBullet"/>
      </w:pPr>
      <w:r>
        <w:t>außergerichtlicher Vertretung gegenüber Glitzerwald und deren EU-Tochter</w:t>
      </w:r>
    </w:p>
    <w:p>
      <w:pPr>
        <w:pStyle w:val="ListBullet"/>
      </w:pPr>
      <w:r>
        <w:t>Beschwerden bei Aufsichtsbehörden (Bundesnetzagentur als DSC, ggf. EU-Kommission)</w:t>
      </w:r>
    </w:p>
    <w:p>
      <w:pPr>
        <w:pStyle w:val="ListBullet"/>
      </w:pPr>
      <w:r>
        <w:t>gerichtlicher Geltendmachung (Eilrechtsschutz, Hauptsache)</w:t>
      </w:r>
    </w:p>
    <w:p>
      <w:pPr>
        <w:pStyle w:val="ListBullet"/>
      </w:pPr>
      <w:r>
        <w:t>Begleitung des Forschungsantrags Dr. Adelgunde Vogelbroich (Art. 40 DSA), soweit die Mandantin als Praxiszeugin auftritt</w:t>
      </w:r>
    </w:p>
    <w:p>
      <w:pPr>
        <w:pStyle w:val="ListBullet"/>
      </w:pPr>
      <w:r>
        <w:t>strategischer Beratung zu Mitbewerber Lindheim &amp; Söhne KG und VLOP-Designation</w:t>
      </w:r>
    </w:p>
    <w:p>
      <w:pPr>
        <w:pStyle w:val="Heading2"/>
      </w:pPr>
      <w:r>
        <w:rPr>
          <w:rFonts w:ascii="Times New Roman" w:hAnsi="Times New Roman"/>
        </w:rPr>
        <w:t>2. Honorar</w:t>
      </w:r>
    </w:p>
    <w:p>
      <w:pPr>
        <w:jc w:val="left"/>
      </w:pPr>
      <w:r>
        <w:t>Stundensatz Hagenroth 380 EUR netto, Quasthoff-Prügelmann 320 EUR netto, Referendarin Roswita Pfistermeier 90 EUR netto. Abrechnung monatlich. Vorschuss 7 500 EUR netto auf Verrechnungskonto.</w:t>
      </w:r>
    </w:p>
    <w:p>
      <w:pPr>
        <w:pStyle w:val="Heading2"/>
      </w:pPr>
      <w:r>
        <w:rPr>
          <w:rFonts w:ascii="Times New Roman" w:hAnsi="Times New Roman"/>
        </w:rPr>
        <w:t>3. Vollmacht</w:t>
      </w:r>
    </w:p>
    <w:p>
      <w:pPr>
        <w:jc w:val="left"/>
      </w:pPr>
      <w:r>
        <w:t>Die unterzeichnende Geschäftsführerin bevollmächtigt die Kanzlei Hagenroth, Quasthoff-Prügelmann &amp; Kollegen sowie deren Sozien zur Vertretung gegenüber</w:t>
      </w:r>
    </w:p>
    <w:p>
      <w:pPr>
        <w:pStyle w:val="ListBullet"/>
      </w:pPr>
      <w:r>
        <w:t>der Glitzerwald Inc. und allen verbundenen Unternehmen</w:t>
      </w:r>
    </w:p>
    <w:p>
      <w:pPr>
        <w:pStyle w:val="ListBullet"/>
      </w:pPr>
      <w:r>
        <w:t>der Bundesnetzagentur (BNetzA) und allen anderen zuständigen Behörden</w:t>
      </w:r>
    </w:p>
    <w:p>
      <w:pPr>
        <w:pStyle w:val="ListBullet"/>
      </w:pPr>
      <w:r>
        <w:t>jedem Gericht in Deutschland, der EU und ggf. in den USA</w:t>
      </w:r>
    </w:p>
    <w:p>
      <w:pPr>
        <w:pStyle w:val="ListBullet"/>
      </w:pPr>
      <w:r>
        <w:t>Dritten, soweit sachdienlich</w:t>
      </w:r>
    </w:p>
    <w:p>
      <w:pPr>
        <w:jc w:val="left"/>
      </w:pPr>
      <w:r>
        <w:t>einschließlich aller prozessualen Befugnisse (§§ 81 ff. ZPO), Entgegennahme von Zustellungen, Erhebung von Klagen, Rechtsmitteln und Eilanträgen sowie Abschluss von Vergleichen.</w:t>
      </w:r>
    </w:p>
    <w:p>
      <w:pPr>
        <w:jc w:val="left"/>
      </w:pPr>
      <w:r>
        <w:t>Die Vollmacht umfasst Untervollmachten an alle in der Sache befassten Mitarbeitern der Kanzlei.</w:t>
      </w:r>
    </w:p>
    <w:p>
      <w:pPr>
        <w:jc w:val="left"/>
      </w:pPr>
      <w:r>
        <w:t>Stand: Höchstadt, 02.04.2026</w:t>
      </w:r>
    </w:p>
    <w:p>
      <w:pPr>
        <w:jc w:val="left"/>
      </w:pPr>
      <w:r>
        <w:t>Walpurga Meißnerlein-Hochkönig</w:t>
      </w:r>
    </w:p>
    <w:p>
      <w:pPr>
        <w:jc w:val="left"/>
      </w:pPr>
      <w:r>
        <w:t>(Geschäftsführerin, Baustube Meißnerlein GmbH)</w:t>
      </w:r>
    </w:p>
    <w:p/>
    <w:p>
      <w:pPr>
        <w:jc w:val="left"/>
      </w:pPr>
      <w:r>
        <w:rPr>
          <w:i/>
        </w:rPr>
        <w:t>Vermerk Kanzlei:</w:t>
      </w:r>
      <w:r>
        <w:t xml:space="preserve"> Originalvollmacht im Tresor; Kopie zur Akte. Vollmacht qualifiziert elektronisch nachsigniert über DocuSign-Equivalent durch Frau Meißnerlein-Hochkönig 02.04.2026 17:42 CET — qES-Zertifikat im Anhang.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Baustube Meißnerlein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Baustube Meißnerlein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gesetzlich vertreten durch die Geschäftsführerin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