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— Eilantrag LG Nürnberg-Fürth</w:t>
      </w:r>
    </w:p>
    <w:p>
      <w:pPr>
        <w:ind w:left="567"/>
      </w:pPr>
      <w:r>
        <w:rPr>
          <w:b/>
          <w:i/>
        </w:rPr>
        <w:t>Status: ENTWURF v3, Stand 12.05.2026 — vor Einreichung Abstimmung mit Mandantin</w:t>
      </w:r>
    </w:p>
    <w:p>
      <w:pPr>
        <w:jc w:val="left"/>
      </w:pPr>
      <w:r>
        <w:t>An das</w:t>
      </w:r>
    </w:p>
    <w:p>
      <w:pPr>
        <w:jc w:val="left"/>
      </w:pPr>
      <w:r>
        <w:t>Landgericht Nürnberg-Fürth</w:t>
      </w:r>
    </w:p>
    <w:p>
      <w:pPr>
        <w:pStyle w:val="ListBullet"/>
      </w:pPr>
      <w:r>
        <w:t>Kammer für Handelssachen -</w:t>
      </w:r>
    </w:p>
    <w:p>
      <w:pPr>
        <w:jc w:val="left"/>
      </w:pPr>
      <w:r>
        <w:t>Fürther Straße 110</w:t>
      </w:r>
    </w:p>
    <w:p>
      <w:pPr>
        <w:jc w:val="left"/>
      </w:pPr>
      <w:r>
        <w:t>90429 Nürnberg</w:t>
      </w:r>
    </w:p>
    <w:p>
      <w:pPr>
        <w:jc w:val="left"/>
      </w:pPr>
      <w:r>
        <w:t>In der Eilsache</w:t>
      </w:r>
    </w:p>
    <w:p>
      <w:pPr>
        <w:jc w:val="left"/>
      </w:pPr>
      <w:r>
        <w:t>der Baustube Meißnerlein GmbH, vertreten durch die Geschäftsführerin Walpurga Meißnerlein-Hochkönig, Innere Bachgasse 17, 91315 Höchstadt an der Aisch</w:t>
      </w:r>
    </w:p>
    <w:p>
      <w:pPr>
        <w:jc w:val="left"/>
      </w:pPr>
      <w:r>
        <w:t>– Antragstellerin –</w:t>
      </w:r>
    </w:p>
    <w:p>
      <w:pPr>
        <w:jc w:val="left"/>
      </w:pPr>
      <w:r>
        <w:t>Verfahrensbevollmächtigte: Hagenroth, Quasthoff-Prügelmann &amp; Kollegen, Pfaffengasse 4, 91054 Erlangen</w:t>
      </w:r>
    </w:p>
    <w:p>
      <w:pPr>
        <w:jc w:val="left"/>
      </w:pPr>
      <w:r>
        <w:t>gegen</w:t>
      </w:r>
    </w:p>
    <w:p>
      <w:pPr>
        <w:pStyle w:val="ListNumber"/>
      </w:pPr>
      <w:r>
        <w:t>Glitzerwald Inc., 4711 Diamond Forest Way, Wilmington, DE 19801, USA, vertreten durch das Board of Directors, namentlich u. a. Chairwoman Mehetabel J. Faulkner-Quincy</w:t>
      </w:r>
    </w:p>
    <w:p>
      <w:pPr>
        <w:pStyle w:val="ListNumber"/>
      </w:pPr>
      <w:r>
        <w:t>Glitzerwald Networks Ireland Limited, 17 Lime Quay, Dublin 2, Irland, vertreten durch den Vorstand, namentlich Director Cathal Ó Súilleabháin</w:t>
      </w:r>
    </w:p>
    <w:p>
      <w:pPr>
        <w:jc w:val="left"/>
      </w:pPr>
      <w:r>
        <w:t>– Antragsgegnerinnen –</w:t>
      </w:r>
    </w:p>
    <w:p>
      <w:pPr>
        <w:jc w:val="left"/>
      </w:pPr>
      <w:r>
        <w:t>wegen einstweiliger Verfügung auf Wiederherstellung des Glitzerwald-Accounts "@baustube_meissnerlein"</w:t>
      </w:r>
    </w:p>
    <w:p>
      <w:pPr>
        <w:jc w:val="left"/>
      </w:pPr>
      <w:r>
        <w:rPr>
          <w:b/>
        </w:rPr>
        <w:t>Vorläufiger Streitwert:</w:t>
      </w:r>
      <w:r>
        <w:t xml:space="preserve"> 75 000 EUR (Vermögensschaden 35 000 EUR / Monat × angenommener Dauer)</w:t>
      </w:r>
    </w:p>
    <w:p>
      <w:pPr>
        <w:pStyle w:val="Heading2"/>
      </w:pPr>
      <w:r>
        <w:rPr>
          <w:rFonts w:ascii="Times New Roman" w:hAnsi="Times New Roman"/>
        </w:rPr>
        <w:t>Anträge</w:t>
      </w:r>
    </w:p>
    <w:p>
      <w:pPr>
        <w:pStyle w:val="ListNumber"/>
      </w:pPr>
      <w:r>
        <w:t xml:space="preserve">Die Antragsgegnerinnen werden – jede für sich – im Wege der einstweiligen Verfügung verpflichtet, den Zugang zum Glitzerwald-Account "@baustube_meissnerlein" der Antragstellerin </w:t>
      </w:r>
      <w:r>
        <w:rPr>
          <w:b/>
        </w:rPr>
        <w:t>innerhalb von 24 Stunden</w:t>
      </w:r>
      <w:r>
        <w:t xml:space="preserve"> ab Zustellung dieser Verfügung wiederherzustellen, sämtliche dem Account zugeordneten Inhalte (Posts, Stories, Fotos, Engagement-Metriken) in dem Zustand bereitzustellen, wie er am 13.03.2026 23:59 UTC bestand, und den Account in den Zustand vor der Sperrung vom 14.03.2026 zu versetzen.</w:t>
      </w:r>
    </w:p>
    <w:p>
      <w:pPr>
        <w:pStyle w:val="ListNumber"/>
      </w:pPr>
      <w:r>
        <w:t>Hilfsweise: Die Antragsgegnerinnen werden verpflichtet, die Sichtbarkeitsbeschränkung der Inhalte der Antragstellerin aufzuheben, hilfsweise: konkret darzulegen, welche bestimmten Inhalte oder Engagement-Vorgänge dem Sperrgrund zugrunde liegen.</w:t>
      </w:r>
    </w:p>
    <w:p>
      <w:pPr>
        <w:pStyle w:val="ListNumber"/>
      </w:pPr>
      <w:r>
        <w:t>Den Antragsgegnerinnen wird für jeden Fall der Zuwiderhandlung ein Ordnungsgeld bis 250 000 EUR, ersatzweise Ordnungshaft, oder Ordnungshaft bis zu sechs Monaten, gegen die gesetzlichen Vertreter, angedroht.</w:t>
      </w:r>
    </w:p>
    <w:p>
      <w:pPr>
        <w:pStyle w:val="ListNumber"/>
      </w:pPr>
      <w:r>
        <w:t>Die Kosten des Verfahrens werden den Antragsgegnerinnen auferlegt.</w:t>
      </w:r>
    </w:p>
    <w:p>
      <w:pPr>
        <w:pStyle w:val="Heading2"/>
      </w:pPr>
      <w:r>
        <w:rPr>
          <w:rFonts w:ascii="Times New Roman" w:hAnsi="Times New Roman"/>
        </w:rPr>
        <w:t>Begründung (gekürzt)</w:t>
      </w:r>
    </w:p>
    <w:p>
      <w:pPr>
        <w:pStyle w:val="Heading3"/>
      </w:pPr>
      <w:r>
        <w:rPr>
          <w:rFonts w:ascii="Times New Roman" w:hAnsi="Times New Roman"/>
        </w:rPr>
        <w:t>A. Zuständigkeit</w:t>
      </w:r>
    </w:p>
    <w:p>
      <w:pPr>
        <w:jc w:val="left"/>
      </w:pPr>
      <w:r>
        <w:t>Die internationale und örtliche Zuständigkeit des LG Nürnberg-Fürth folgt aus Art. 7 Nr. 1 lit. b Brüssel-Ia-VO (Erfüllungsort der Dienstleistung in Höchstadt/Aisch im Landgerichtsbezirk). Hilfsweise Art. 7 Nr. 5 (Niederlassung — eu-Tochter Dublin streitig, ggf. nicht einschlägig). Sachliche Zuständigkeit aus § 95 GVG (Handelssache).</w:t>
      </w:r>
    </w:p>
    <w:p>
      <w:pPr>
        <w:pStyle w:val="Heading3"/>
      </w:pPr>
      <w:r>
        <w:rPr>
          <w:rFonts w:ascii="Times New Roman" w:hAnsi="Times New Roman"/>
        </w:rPr>
        <w:t>B. Verfügungsanspruch</w:t>
      </w:r>
    </w:p>
    <w:p>
      <w:pPr>
        <w:jc w:val="left"/>
      </w:pPr>
      <w:r>
        <w:t>Die Antragsgegnerinnen haben den am 13.07.2014 zwischen ihnen (resp. der konzernrechtlichen Vorgängerin) und der Antragstellerin geschlossenen Nutzungsvertrag durch die Account-Sperre vom 14.03.2026 gestört. Die Sperre ist sowohl AGB-rechtlich (BGH 29.07.2021 — III ZR 179/20, III ZR 192/20) als auch unter den Maßstäben des Art. 14 Abs. 4 und Art. 17, 20 DSA rechtswidrig:</w:t>
      </w:r>
    </w:p>
    <w:p>
      <w:pPr>
        <w:pStyle w:val="ListBullet"/>
      </w:pPr>
      <w:r>
        <w:t>die Sperrmitteilung enthält keine spezifische Sachverhaltsdarstellung (Art. 17 Abs. 3 DSA)</w:t>
      </w:r>
    </w:p>
    <w:p>
      <w:pPr>
        <w:pStyle w:val="ListBullet"/>
      </w:pPr>
      <w:r>
        <w:t>die "Human Review" nach Art. 20 Abs. 6 DSA ist nicht hinreichend dokumentiert</w:t>
      </w:r>
    </w:p>
    <w:p>
      <w:pPr>
        <w:pStyle w:val="ListBullet"/>
      </w:pPr>
      <w:r>
        <w:t>der Zugang wurde ohne vorherige Anhörung entzogen</w:t>
      </w:r>
    </w:p>
    <w:p>
      <w:pPr>
        <w:pStyle w:val="ListBullet"/>
      </w:pPr>
      <w:r>
        <w:t>mittelbare Drittwirkung der Grundrechte aus Art. 12 Abs. 1, Art. 5 Abs. 1 GG verlangt verhältnismäßige Reaktion; das Mittel der totalen Suspension ist nicht das mildeste</w:t>
      </w:r>
    </w:p>
    <w:p>
      <w:pPr>
        <w:pStyle w:val="Heading3"/>
      </w:pPr>
      <w:r>
        <w:rPr>
          <w:rFonts w:ascii="Times New Roman" w:hAnsi="Times New Roman"/>
        </w:rPr>
        <w:t>C. Verfügungsgrund</w:t>
      </w:r>
    </w:p>
    <w:p>
      <w:pPr>
        <w:jc w:val="left"/>
      </w:pPr>
      <w:r>
        <w:t>Die Dringlichkeit ergibt sich aus dem fortlaufenden, irreversiblen Reichweitenverlust und dem täglichen Umsatzausfall von durchschnittlich 1 300 EUR netto (Akte 07, Auswertung). Eine Hauptsacheklage wäre nicht hinreichend wirksam, weil 87 000 Abonnenten in wenigen Monaten nicht wiederherstellbar sind.</w:t>
      </w:r>
    </w:p>
    <w:p>
      <w:pPr>
        <w:pStyle w:val="Heading3"/>
      </w:pPr>
      <w:r>
        <w:rPr>
          <w:rFonts w:ascii="Times New Roman" w:hAnsi="Times New Roman"/>
        </w:rPr>
        <w:t>D. Glaubhaftmachung</w:t>
      </w:r>
    </w:p>
    <w:p>
      <w:pPr>
        <w:pStyle w:val="ListBullet"/>
      </w:pPr>
      <w:r>
        <w:t>Eidesstattliche Versicherung der Geschäftsführerin (Anlage AS 1)</w:t>
      </w:r>
    </w:p>
    <w:p>
      <w:pPr>
        <w:pStyle w:val="ListBullet"/>
      </w:pPr>
      <w:r>
        <w:t>Sperrmitteilung (AS 2)</w:t>
      </w:r>
    </w:p>
    <w:p>
      <w:pPr>
        <w:pStyle w:val="ListBullet"/>
      </w:pPr>
      <w:r>
        <w:t>Beschwerde-Verlauf und Antwort 09.04.2026 (AS 3a, AS 3b)</w:t>
      </w:r>
    </w:p>
    <w:p>
      <w:pPr>
        <w:pStyle w:val="ListBullet"/>
      </w:pPr>
      <w:r>
        <w:t>DSGVO-Auskunft 23.04.2026 (AS 4)</w:t>
      </w:r>
    </w:p>
    <w:p>
      <w:pPr>
        <w:pStyle w:val="ListBullet"/>
      </w:pPr>
      <w:r>
        <w:t>Umsatzauswertung (AS 5)</w:t>
      </w:r>
    </w:p>
    <w:p>
      <w:pPr>
        <w:pStyle w:val="ListBullet"/>
      </w:pPr>
      <w:r>
        <w:t>Anlagenkonvolut Screenshots (AS 6)</w:t>
      </w:r>
    </w:p>
    <w:p>
      <w:pPr>
        <w:pStyle w:val="ListBullet"/>
      </w:pPr>
      <w:r>
        <w:t>Vollmacht (AS 7)</w:t>
      </w:r>
    </w:p>
    <w:p>
      <w:pPr>
        <w:pStyle w:val="Heading3"/>
      </w:pPr>
      <w:r>
        <w:rPr>
          <w:rFonts w:ascii="Times New Roman" w:hAnsi="Times New Roman"/>
        </w:rPr>
        <w:t>E. Zustellung — besonderer Hinweis</w:t>
      </w:r>
    </w:p>
    <w:p>
      <w:pPr>
        <w:jc w:val="left"/>
      </w:pPr>
      <w:r>
        <w:t>Die Zustellung an die Antragsgegnerin zu 1) (USA) erfolgt nach HZÜ. Hilfsweise wird angeregt, gemäß § 184 ZPO der Antragsgegnerin zu 1) die Benennung einer inländischen Zustellungsbevollmächtigten aufzugeben. Die Zustellung an die Antragsgegnerin zu 2) ist möglich nach EuZVO an die EU-Niederlassung in Dublin. Wir bitten zur Vermeidung weiteren Schadens um zügige Anordnung der Zustellung im Parteibetrieb und um Anberaumung einer mündlichen Verhandlung binnen zwei Wochen.</w:t>
      </w:r>
    </w:p>
    <w:p/>
    <w:p>
      <w:pPr>
        <w:jc w:val="left"/>
      </w:pPr>
      <w:r>
        <w:t>Erlangen, 12.05.2026</w:t>
      </w:r>
    </w:p>
    <w:p>
      <w:pPr>
        <w:jc w:val="left"/>
      </w:pPr>
      <w:r>
        <w:t>Hagenroth, Quasthoff-Prügelmann &amp; Kollegen</w:t>
      </w:r>
    </w:p>
    <w:p>
      <w:pPr>
        <w:jc w:val="left"/>
      </w:pPr>
      <w:r>
        <w:t>Dr. C. Hagenroth, Rechtsanwalt</w:t>
      </w:r>
    </w:p>
    <w:p>
      <w:pPr>
        <w:jc w:val="left"/>
      </w:pPr>
      <w:r>
        <w:rPr>
          <w:b/>
        </w:rPr>
        <w:t>Vermerk Kanzlei:</w:t>
      </w:r>
    </w:p>
    <w:p>
      <w:pPr>
        <w:jc w:val="left"/>
      </w:pPr>
      <w:r>
        <w:t>Beachte vor Einreichung:</w:t>
      </w:r>
    </w:p>
    <w:p>
      <w:pPr>
        <w:pStyle w:val="ListBullet"/>
      </w:pPr>
      <w:r>
        <w:t>Hauptantrag ggf. enger fassen (Verhältnismäßigkeit: Vollwiederherstellung vs. Sichtbarkeit der Inhalte)</w:t>
      </w:r>
    </w:p>
    <w:p>
      <w:pPr>
        <w:pStyle w:val="ListBullet"/>
      </w:pPr>
      <w:r>
        <w:t>Streitwert mit Steuerberater Bödecke-Kratzert nochmal abstimmen</w:t>
      </w:r>
    </w:p>
    <w:p>
      <w:pPr>
        <w:pStyle w:val="ListBullet"/>
      </w:pPr>
      <w:r>
        <w:t>Hilfsantrag Nr. 2 evtl. als 2 Hilfsanträge gestaffelt</w:t>
      </w:r>
    </w:p>
    <w:p>
      <w:pPr>
        <w:pStyle w:val="ListBullet"/>
      </w:pPr>
      <w:r>
        <w:t>§ 142 ZPO Vorlageanordnung Algorithmus erwägen — Risiko: Gericht lehnt ab</w:t>
      </w:r>
    </w:p>
    <w:p>
      <w:pPr>
        <w:pStyle w:val="ListBullet"/>
      </w:pPr>
      <w:r>
        <w:t>Mandantin entscheidet, ob Antragsgegnerin zu 1) mitverklagt wird (Zustellungsrisiko) oder zunächst nur EU-Tochter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Nürnberg-Fürth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Nürnberg-Fürth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