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01 — Mandatsannahme: DSA-VLOP-Designation Körnerstrom Social GmbH</w:t>
      </w:r>
    </w:p>
    <w:p>
      <w:pPr>
        <w:jc w:val="left"/>
      </w:pPr>
      <w:r>
        <w:rPr>
          <w:b/>
        </w:rPr>
        <w:t>Kanzlei:</w:t>
      </w:r>
      <w:r>
        <w:t xml:space="preserve"> Klotzkette Rechtsanwaltsgesellschaft mbH, Unter den Linden 42, 10117 Berlin</w:t>
      </w:r>
    </w:p>
    <w:p>
      <w:pPr>
        <w:jc w:val="left"/>
      </w:pPr>
      <w:r>
        <w:rPr>
          <w:b/>
        </w:rPr>
        <w:t>Mandantin:</w:t>
      </w:r>
      <w:r>
        <w:t xml:space="preserve"> Körnerstrom Social GmbH, Torstraße 177, 10115 Berlin</w:t>
      </w:r>
    </w:p>
    <w:p>
      <w:pPr>
        <w:jc w:val="left"/>
      </w:pPr>
      <w:r>
        <w:rPr>
          <w:b/>
        </w:rPr>
        <w:t>Ansprechpartner Mandantin:</w:t>
      </w:r>
      <w:r>
        <w:t xml:space="preserve"> Dr. Yilmaz Erbakan, Geschäftsführer; Lena Maaßen, Legal Counsel</w:t>
      </w:r>
    </w:p>
    <w:p>
      <w:pPr>
        <w:jc w:val="left"/>
      </w:pPr>
      <w:r>
        <w:rPr>
          <w:b/>
        </w:rPr>
        <w:t>Sachbearbeitung Kanzlei:</w:t>
      </w:r>
      <w:r>
        <w:t xml:space="preserve"> RAin Dr. Philippa Groth-Steinberg (federführend), RA Felix Wendland (DSA/DMA-Technikrecht)</w:t>
      </w:r>
    </w:p>
    <w:p>
      <w:pPr>
        <w:jc w:val="left"/>
      </w:pPr>
      <w:r>
        <w:rPr>
          <w:b/>
        </w:rPr>
        <w:t>Mandatseröffnung:</w:t>
      </w:r>
      <w:r>
        <w:t xml:space="preserve"> 18. März 2026</w:t>
      </w:r>
    </w:p>
    <w:p>
      <w:pPr>
        <w:jc w:val="left"/>
      </w:pPr>
      <w:r>
        <w:rPr>
          <w:b/>
        </w:rPr>
        <w:t>Az. Kanzlei:</w:t>
      </w:r>
      <w:r>
        <w:t xml:space="preserve"> KRS-2026-0318-DSA</w:t>
      </w:r>
    </w:p>
    <w:p/>
    <w:p>
      <w:pPr>
        <w:pStyle w:val="Heading2"/>
      </w:pPr>
      <w:r>
        <w:rPr>
          <w:rFonts w:ascii="Times New Roman" w:hAnsi="Times New Roman"/>
        </w:rPr>
        <w:t>1. Sachverhaltsaufnahme</w:t>
      </w:r>
    </w:p>
    <w:p>
      <w:pPr>
        <w:jc w:val="left"/>
      </w:pPr>
      <w:r>
        <w:t>Am 18. März 2026 suchte Dr. Yilmaz Erbakan, Geschäftsführer der Körnerstrom Social GmbH, die Kanzlei auf. Die Mandantin betreibt die Soziale Plattform Halmweise.de mit Sitz in Berlin. Halmweise.de ist eine deutsch-europäische Social-Media-Plattform mit Fokus auf nachhaltige Lebensstile, Community-Gärten und lokale Solidarwirtschaft. Die Plattform verzeichnet nach eigenen Angaben 51 Millionen aktive Nutzer in der Europäischen Union (Stand: Dezember 2025).</w:t>
      </w:r>
    </w:p>
    <w:p>
      <w:pPr>
        <w:jc w:val="left"/>
      </w:pPr>
      <w:r>
        <w:t>Am 14. März 2026 hatte die Europäische Kommission per Bescheid (Az. CASE COMP M.92188, veröffentlicht im Amtsblatt der EU vom 16.03.2026) die Körnerstrom Social GmbH als Betreiberin einer Very Large Online Platform (VLOP) gemäß Art. 33 Abs. 4 der Verordnung (EU) 2022/2065 (Digital Services Act, DSA) designiert. Die Designation basiert auf der amtlichen Feststellung, dass Halmweise.de die Schwelle von 45 Millionen durchschnittlichen monatlichen aktiven Nutzern im Sinne des Art. 33 Abs. 1 DSA in der EU überschreitet.</w:t>
      </w:r>
    </w:p>
    <w:p>
      <w:pPr>
        <w:jc w:val="left"/>
      </w:pPr>
      <w:r>
        <w:t>Parallel dazu hat die Bundesnetzagentur als nationaler Digital Services Coordinator (DSC) gemäß Art. 49 DSA mit Schreiben vom 02. April 2026 (Az. BNetzA-DSC-2026-188) ein Mahnverfahren wegen vier konkret bezeichneter Verstöße gegen DSA-Pflichten eingeleitet.</w:t>
      </w:r>
    </w:p>
    <w:p>
      <w:pPr>
        <w:jc w:val="left"/>
      </w:pPr>
      <w:r>
        <w:t>Eine Anfrage wegen Designation als Gatekeeper nach Art. 3 der Verordnung (EU) 2022/1925 (Digital Markets Act, DMA) hat die Kommission mit Bescheid vom 10. März 2026 abgelehnt, weil das ergänzende Marketplace-Modul von Halmweise.de die quantitativen Schwellenwerte des Art. 3 Abs. 2 DMA nicht erreiche.</w:t>
      </w:r>
    </w:p>
    <w:p/>
    <w:p>
      <w:pPr>
        <w:pStyle w:val="Heading2"/>
      </w:pPr>
      <w:r>
        <w:rPr>
          <w:rFonts w:ascii="Times New Roman" w:hAnsi="Times New Roman"/>
        </w:rPr>
        <w:t>2. Mandantenangaben zur Plattform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Unternehmen</w:t>
            </w:r>
          </w:p>
        </w:tc>
        <w:tc>
          <w:tcPr>
            <w:tcW w:type="dxa" w:w="4536"/>
          </w:tcPr>
          <w:p>
            <w:r>
              <w:rPr>
                <w:rFonts w:ascii="Times New Roman" w:hAnsi="Times New Roman"/>
                <w:sz w:val="20"/>
              </w:rPr>
              <w:t>Körnerstrom Social GmbH</w:t>
            </w:r>
          </w:p>
        </w:tc>
      </w:tr>
      <w:tr>
        <w:tc>
          <w:tcPr>
            <w:tcW w:type="dxa" w:w="4536"/>
          </w:tcPr>
          <w:p>
            <w:r>
              <w:rPr>
                <w:rFonts w:ascii="Times New Roman" w:hAnsi="Times New Roman"/>
                <w:sz w:val="20"/>
              </w:rPr>
              <w:t>Handelsregister</w:t>
            </w:r>
          </w:p>
        </w:tc>
        <w:tc>
          <w:tcPr>
            <w:tcW w:type="dxa" w:w="4536"/>
          </w:tcPr>
          <w:p>
            <w:r>
              <w:rPr>
                <w:rFonts w:ascii="Times New Roman" w:hAnsi="Times New Roman"/>
                <w:sz w:val="20"/>
              </w:rPr>
              <w:t>HRB 231987 B, AG Charlottenburg</w:t>
            </w:r>
          </w:p>
        </w:tc>
      </w:tr>
      <w:tr>
        <w:tc>
          <w:tcPr>
            <w:tcW w:type="dxa" w:w="4536"/>
          </w:tcPr>
          <w:p>
            <w:r>
              <w:rPr>
                <w:rFonts w:ascii="Times New Roman" w:hAnsi="Times New Roman"/>
                <w:sz w:val="20"/>
              </w:rPr>
              <w:t>Gründungsjahr</w:t>
            </w:r>
          </w:p>
        </w:tc>
        <w:tc>
          <w:tcPr>
            <w:tcW w:type="dxa" w:w="4536"/>
          </w:tcPr>
          <w:p>
            <w:r>
              <w:rPr>
                <w:rFonts w:ascii="Times New Roman" w:hAnsi="Times New Roman"/>
                <w:sz w:val="20"/>
              </w:rPr>
              <w:t>2018</w:t>
            </w:r>
          </w:p>
        </w:tc>
      </w:tr>
      <w:tr>
        <w:tc>
          <w:tcPr>
            <w:tcW w:type="dxa" w:w="4536"/>
          </w:tcPr>
          <w:p>
            <w:r>
              <w:rPr>
                <w:rFonts w:ascii="Times New Roman" w:hAnsi="Times New Roman"/>
                <w:sz w:val="20"/>
              </w:rPr>
              <w:t>Plattform</w:t>
            </w:r>
          </w:p>
        </w:tc>
        <w:tc>
          <w:tcPr>
            <w:tcW w:type="dxa" w:w="4536"/>
          </w:tcPr>
          <w:p>
            <w:r>
              <w:rPr>
                <w:rFonts w:ascii="Times New Roman" w:hAnsi="Times New Roman"/>
                <w:sz w:val="20"/>
              </w:rPr>
              <w:t>Halmweise.de</w:t>
            </w:r>
          </w:p>
        </w:tc>
      </w:tr>
      <w:tr>
        <w:tc>
          <w:tcPr>
            <w:tcW w:type="dxa" w:w="4536"/>
          </w:tcPr>
          <w:p>
            <w:r>
              <w:rPr>
                <w:rFonts w:ascii="Times New Roman" w:hAnsi="Times New Roman"/>
                <w:sz w:val="20"/>
              </w:rPr>
              <w:t>Geschäftsmodell</w:t>
            </w:r>
          </w:p>
        </w:tc>
        <w:tc>
          <w:tcPr>
            <w:tcW w:type="dxa" w:w="4536"/>
          </w:tcPr>
          <w:p>
            <w:r>
              <w:rPr>
                <w:rFonts w:ascii="Times New Roman" w:hAnsi="Times New Roman"/>
                <w:sz w:val="20"/>
              </w:rPr>
              <w:t>Werbefinanzierte soziale Plattform, freemium</w:t>
            </w:r>
          </w:p>
        </w:tc>
      </w:tr>
      <w:tr>
        <w:tc>
          <w:tcPr>
            <w:tcW w:type="dxa" w:w="4536"/>
          </w:tcPr>
          <w:p>
            <w:r>
              <w:rPr>
                <w:rFonts w:ascii="Times New Roman" w:hAnsi="Times New Roman"/>
                <w:sz w:val="20"/>
              </w:rPr>
              <w:t>Aktive Nutzer EU</w:t>
            </w:r>
          </w:p>
        </w:tc>
        <w:tc>
          <w:tcPr>
            <w:tcW w:type="dxa" w:w="4536"/>
          </w:tcPr>
          <w:p>
            <w:r>
              <w:rPr>
                <w:rFonts w:ascii="Times New Roman" w:hAnsi="Times New Roman"/>
                <w:sz w:val="20"/>
              </w:rPr>
              <w:t>51 Mio. (Dezember 2025)</w:t>
            </w:r>
          </w:p>
        </w:tc>
      </w:tr>
      <w:tr>
        <w:tc>
          <w:tcPr>
            <w:tcW w:type="dxa" w:w="4536"/>
          </w:tcPr>
          <w:p>
            <w:r>
              <w:rPr>
                <w:rFonts w:ascii="Times New Roman" w:hAnsi="Times New Roman"/>
                <w:sz w:val="20"/>
              </w:rPr>
              <w:t>Hauptsitz</w:t>
            </w:r>
          </w:p>
        </w:tc>
        <w:tc>
          <w:tcPr>
            <w:tcW w:type="dxa" w:w="4536"/>
          </w:tcPr>
          <w:p>
            <w:r>
              <w:rPr>
                <w:rFonts w:ascii="Times New Roman" w:hAnsi="Times New Roman"/>
                <w:sz w:val="20"/>
              </w:rPr>
              <w:t>Berlin</w:t>
            </w:r>
          </w:p>
        </w:tc>
      </w:tr>
      <w:tr>
        <w:tc>
          <w:tcPr>
            <w:tcW w:type="dxa" w:w="4536"/>
          </w:tcPr>
          <w:p>
            <w:r>
              <w:rPr>
                <w:rFonts w:ascii="Times New Roman" w:hAnsi="Times New Roman"/>
                <w:sz w:val="20"/>
              </w:rPr>
              <w:t>EU-Niederlassungen</w:t>
            </w:r>
          </w:p>
        </w:tc>
        <w:tc>
          <w:tcPr>
            <w:tcW w:type="dxa" w:w="4536"/>
          </w:tcPr>
          <w:p>
            <w:r>
              <w:rPr>
                <w:rFonts w:ascii="Times New Roman" w:hAnsi="Times New Roman"/>
                <w:sz w:val="20"/>
              </w:rPr>
              <w:t>Berlin (Hauptniederlassung), Dublin (Irland)</w:t>
            </w:r>
          </w:p>
        </w:tc>
      </w:tr>
      <w:tr>
        <w:tc>
          <w:tcPr>
            <w:tcW w:type="dxa" w:w="4536"/>
          </w:tcPr>
          <w:p>
            <w:r>
              <w:rPr>
                <w:rFonts w:ascii="Times New Roman" w:hAnsi="Times New Roman"/>
                <w:sz w:val="20"/>
              </w:rPr>
              <w:t>Beschäftigte</w:t>
            </w:r>
          </w:p>
        </w:tc>
        <w:tc>
          <w:tcPr>
            <w:tcW w:type="dxa" w:w="4536"/>
          </w:tcPr>
          <w:p>
            <w:r>
              <w:rPr>
                <w:rFonts w:ascii="Times New Roman" w:hAnsi="Times New Roman"/>
                <w:sz w:val="20"/>
              </w:rPr>
              <w:t>ca. 1.200 (davon 180 Trust &amp; Safety)</w:t>
            </w:r>
          </w:p>
        </w:tc>
      </w:tr>
      <w:tr>
        <w:tc>
          <w:tcPr>
            <w:tcW w:type="dxa" w:w="4536"/>
          </w:tcPr>
          <w:p>
            <w:r>
              <w:rPr>
                <w:rFonts w:ascii="Times New Roman" w:hAnsi="Times New Roman"/>
                <w:sz w:val="20"/>
              </w:rPr>
              <w:t>Jahresumsatz 2025</w:t>
            </w:r>
          </w:p>
        </w:tc>
        <w:tc>
          <w:tcPr>
            <w:tcW w:type="dxa" w:w="4536"/>
          </w:tcPr>
          <w:p>
            <w:r>
              <w:rPr>
                <w:rFonts w:ascii="Times New Roman" w:hAnsi="Times New Roman"/>
                <w:sz w:val="20"/>
              </w:rPr>
              <w:t>ca. 520 Mio. EUR</w:t>
            </w:r>
          </w:p>
        </w:tc>
      </w:tr>
      <w:tr>
        <w:tc>
          <w:tcPr>
            <w:tcW w:type="dxa" w:w="4536"/>
          </w:tcPr>
          <w:p>
            <w:r>
              <w:rPr>
                <w:rFonts w:ascii="Times New Roman" w:hAnsi="Times New Roman"/>
                <w:sz w:val="20"/>
              </w:rPr>
              <w:t>Werbeanzeigen-Repository</w:t>
            </w:r>
          </w:p>
        </w:tc>
        <w:tc>
          <w:tcPr>
            <w:tcW w:type="dxa" w:w="4536"/>
          </w:tcPr>
          <w:p>
            <w:r>
              <w:rPr>
                <w:rFonts w:ascii="Times New Roman" w:hAnsi="Times New Roman"/>
                <w:sz w:val="20"/>
              </w:rPr>
              <w:t>Vorhanden, nach Mandantenangaben aber noch nicht vollständig gemäß Art. 39 DSA</w:t>
            </w:r>
          </w:p>
        </w:tc>
      </w:tr>
      <w:tr>
        <w:tc>
          <w:tcPr>
            <w:tcW w:type="dxa" w:w="4536"/>
          </w:tcPr>
          <w:p>
            <w:r>
              <w:rPr>
                <w:rFonts w:ascii="Times New Roman" w:hAnsi="Times New Roman"/>
                <w:sz w:val="20"/>
              </w:rPr>
              <w:t>Transparenzbericht</w:t>
            </w:r>
          </w:p>
        </w:tc>
        <w:tc>
          <w:tcPr>
            <w:tcW w:type="dxa" w:w="4536"/>
          </w:tcPr>
          <w:p>
            <w:r>
              <w:rPr>
                <w:rFonts w:ascii="Times New Roman" w:hAnsi="Times New Roman"/>
                <w:sz w:val="20"/>
              </w:rPr>
              <w:t>H1/2026 in Vorbereitung</w:t>
            </w:r>
          </w:p>
        </w:tc>
      </w:tr>
      <w:tr>
        <w:tc>
          <w:tcPr>
            <w:tcW w:type="dxa" w:w="4536"/>
          </w:tcPr>
          <w:p>
            <w:r>
              <w:rPr>
                <w:rFonts w:ascii="Times New Roman" w:hAnsi="Times New Roman"/>
                <w:sz w:val="20"/>
              </w:rPr>
              <w:t>Externer Audit</w:t>
            </w:r>
          </w:p>
        </w:tc>
        <w:tc>
          <w:tcPr>
            <w:tcW w:type="dxa" w:w="4536"/>
          </w:tcPr>
          <w:p>
            <w:r>
              <w:rPr>
                <w:rFonts w:ascii="Times New Roman" w:hAnsi="Times New Roman"/>
                <w:sz w:val="20"/>
              </w:rPr>
              <w:t>Noch nicht abgeschlossen; Angebotsphase</w:t>
            </w:r>
          </w:p>
        </w:tc>
      </w:tr>
      <w:tr>
        <w:tc>
          <w:tcPr>
            <w:tcW w:type="dxa" w:w="4536"/>
          </w:tcPr>
          <w:p>
            <w:r>
              <w:rPr>
                <w:rFonts w:ascii="Times New Roman" w:hAnsi="Times New Roman"/>
                <w:sz w:val="20"/>
              </w:rPr>
              <w:t>Trusted Flagger</w:t>
            </w:r>
          </w:p>
        </w:tc>
        <w:tc>
          <w:tcPr>
            <w:tcW w:type="dxa" w:w="4536"/>
          </w:tcPr>
          <w:p>
            <w:r>
              <w:rPr>
                <w:rFonts w:ascii="Times New Roman" w:hAnsi="Times New Roman"/>
                <w:sz w:val="20"/>
              </w:rPr>
              <w:t>Kooperationsanfrage ausstehend</w:t>
            </w:r>
          </w:p>
        </w:tc>
      </w:tr>
    </w:tbl>
    <w:p/>
    <w:p>
      <w:pPr>
        <w:pStyle w:val="Heading2"/>
      </w:pPr>
      <w:r>
        <w:rPr>
          <w:rFonts w:ascii="Times New Roman" w:hAnsi="Times New Roman"/>
        </w:rPr>
        <w:t>3. Mandat und Interessenkonflikte</w:t>
      </w:r>
    </w:p>
    <w:p>
      <w:pPr>
        <w:jc w:val="left"/>
      </w:pPr>
      <w:r>
        <w:t>Die Kanzlei führte eine Interessenkonfliktprüfung durch. Es bestehen keine kollidierenden Mandate gegenüber der Europäischen Kommission, der Bundesnetzagentur oder konkurrierenden Plattformen in vergleichbaren DSA-Verfahren.</w:t>
      </w:r>
    </w:p>
    <w:p>
      <w:pPr>
        <w:jc w:val="left"/>
      </w:pPr>
      <w:r>
        <w:t>Das Mandat umfasst:</w:t>
      </w:r>
    </w:p>
    <w:p>
      <w:pPr>
        <w:pStyle w:val="ListBullet"/>
      </w:pPr>
      <w:r>
        <w:t>Beratung und Begleitung im DSA-Konformitätsverfahren (VLOP-Pflichten Art. 34-43 DSA)</w:t>
      </w:r>
    </w:p>
    <w:p>
      <w:pPr>
        <w:pStyle w:val="ListBullet"/>
      </w:pPr>
      <w:r>
        <w:t>Vertretung im BNetzA-DSC-Mahnverfahren (Az. BNetzA-DSC-2026-188)</w:t>
      </w:r>
    </w:p>
    <w:p>
      <w:pPr>
        <w:pStyle w:val="ListBullet"/>
      </w:pPr>
      <w:r>
        <w:t>Strategische Begleitung bei möglichem Klageverfahren vor dem EuGH (Art. 267 AEUV)</w:t>
      </w:r>
    </w:p>
    <w:p>
      <w:pPr>
        <w:pStyle w:val="ListBullet"/>
      </w:pPr>
      <w:r>
        <w:t>Beratung zur DMA-Abgrenzungsfrage (Gatekeeper-Ablehnung)</w:t>
      </w:r>
    </w:p>
    <w:p/>
    <w:p>
      <w:pPr>
        <w:pStyle w:val="Heading2"/>
      </w:pPr>
      <w:r>
        <w:rPr>
          <w:rFonts w:ascii="Times New Roman" w:hAnsi="Times New Roman"/>
        </w:rPr>
        <w:t>4. Sofortmaßnahmen und Priorisierung</w:t>
      </w:r>
    </w:p>
    <w:p>
      <w:pPr>
        <w:jc w:val="left"/>
      </w:pPr>
      <w:r>
        <w:t>Aus dem Erstgespräch ergeben sich folgende Dringlichkeiten:</w:t>
      </w:r>
    </w:p>
    <w:p>
      <w:pPr>
        <w:pStyle w:val="ListNumber"/>
      </w:pPr>
      <w:r>
        <w:rPr>
          <w:b/>
        </w:rPr>
        <w:t>Dringlichkeitsstufe 1:</w:t>
      </w:r>
      <w:r>
        <w:t xml:space="preserve"> Fristwahrung im BNetzA-Mahnverfahren — Stellungnahme bis 30. April 2026 erforderlich.</w:t>
      </w:r>
    </w:p>
    <w:p>
      <w:pPr>
        <w:pStyle w:val="ListNumber"/>
      </w:pPr>
      <w:r>
        <w:rPr>
          <w:b/>
        </w:rPr>
        <w:t>Dringlichkeitsstufe 2:</w:t>
      </w:r>
      <w:r>
        <w:t xml:space="preserve"> Notice-and-Action-Workflow nach Art. 16 DSA unverzüglich nachbessern; Dokumentation der bisherigen Meldungen sichern.</w:t>
      </w:r>
    </w:p>
    <w:p>
      <w:pPr>
        <w:pStyle w:val="ListNumber"/>
      </w:pPr>
      <w:r>
        <w:rPr>
          <w:b/>
        </w:rPr>
        <w:t>Dringlichkeitsstufe 3:</w:t>
      </w:r>
      <w:r>
        <w:t xml:space="preserve"> Empfehlungsalgorithmus — Non-Profiling-Option nach Art. 27 Abs. 1 lit. b DSA produktseitig implementieren; Zeitplan vorlegen.</w:t>
      </w:r>
    </w:p>
    <w:p>
      <w:pPr>
        <w:pStyle w:val="ListNumber"/>
      </w:pPr>
      <w:r>
        <w:rPr>
          <w:b/>
        </w:rPr>
        <w:t>Dringlichkeitsstufe 4:</w:t>
      </w:r>
      <w:r>
        <w:t xml:space="preserve"> Werbeanzeigen-Repository nach Art. 39 DSA vollständig befüllen.</w:t>
      </w:r>
    </w:p>
    <w:p>
      <w:pPr>
        <w:pStyle w:val="ListNumber"/>
      </w:pPr>
      <w:r>
        <w:rPr>
          <w:b/>
        </w:rPr>
        <w:t>Dringlichkeitsstufe 5:</w:t>
      </w:r>
      <w:r>
        <w:t xml:space="preserve"> Forschungsdatenzugang nach Art. 40 DSA mit BNetzA abstimmen.</w:t>
      </w:r>
    </w:p>
    <w:p/>
    <w:p>
      <w:pPr>
        <w:pStyle w:val="Heading2"/>
      </w:pPr>
      <w:r>
        <w:rPr>
          <w:rFonts w:ascii="Times New Roman" w:hAnsi="Times New Roman"/>
        </w:rPr>
        <w:t>5. Vollmacht und Honorar</w:t>
      </w:r>
    </w:p>
    <w:p>
      <w:pPr>
        <w:jc w:val="left"/>
      </w:pPr>
      <w:r>
        <w:t>Vollmacht liegt als gesondertes Dokument vor (unterzeichnet Dr. Erbakan, 18.03.2026). Honorarvereinbarung auf Stundenbasis (Seniorpartnerin 580 EUR/h, Assoziierten 320 EUR/h) sowie Pauschale für Verfahrensbegleitung BNetzA.</w:t>
      </w:r>
    </w:p>
    <w:p/>
    <w:p>
      <w:pPr>
        <w:pStyle w:val="Heading2"/>
      </w:pPr>
      <w:r>
        <w:rPr>
          <w:rFonts w:ascii="Times New Roman" w:hAnsi="Times New Roman"/>
        </w:rPr>
        <w:t>6. Rechtsgrundlagen</w:t>
      </w:r>
    </w:p>
    <w:p>
      <w:pPr>
        <w:pStyle w:val="ListBullet"/>
      </w:pPr>
      <w:r>
        <w:t>Art. 33 Abs. 1, Abs. 4 DSA (EU) 2022/2065 — Designation VLOP</w:t>
      </w:r>
    </w:p>
    <w:p>
      <w:pPr>
        <w:pStyle w:val="ListBullet"/>
      </w:pPr>
      <w:r>
        <w:t>Art. 34-43 DSA — VLOP-spezifische Pflichten</w:t>
      </w:r>
    </w:p>
    <w:p>
      <w:pPr>
        <w:pStyle w:val="ListBullet"/>
      </w:pPr>
      <w:r>
        <w:t>Art. 49 DSA — Digital Services Coordinator</w:t>
      </w:r>
    </w:p>
    <w:p>
      <w:pPr>
        <w:pStyle w:val="ListBullet"/>
      </w:pPr>
      <w:r>
        <w:t>Art. 3 DMA (EU) 2022/1925 — Gatekeeper-Designation</w:t>
      </w:r>
    </w:p>
    <w:p>
      <w:pPr>
        <w:pStyle w:val="ListBullet"/>
      </w:pPr>
      <w:r>
        <w:t>§ 1 ff. Digitale-Dienste-Gesetz (DDG) 2024 — Nationale Umsetzung</w:t>
      </w:r>
    </w:p>
    <w:p>
      <w:pPr>
        <w:jc w:val="left"/>
      </w:pPr>
      <w:r>
        <w:rPr>
          <w:b/>
        </w:rPr>
        <w:t>Quellen:</w:t>
      </w:r>
    </w:p>
    <w:p>
      <w:pPr>
        <w:pStyle w:val="ListBullet"/>
      </w:pPr>
      <w:r>
        <w:t>Verordnung (EU) 2022/2065 (DSA), EUR-Lex: https://eur-lex.europa.eu/legal-content/DE/TXT/?uri=CELEX%3A32022R2065</w:t>
      </w:r>
    </w:p>
    <w:p>
      <w:pPr>
        <w:pStyle w:val="ListBullet"/>
      </w:pPr>
      <w:r>
        <w:t>Verordnung (EU) 2022/1925 (DMA), EUR-Lex: https://eur-lex.europa.eu/legal-content/DE/TXT/?uri=CELEX%3A32022R1925</w:t>
      </w:r>
    </w:p>
    <w:p/>
    <w:p>
      <w:pPr>
        <w:jc w:val="left"/>
      </w:pPr>
      <w:r>
        <w:rPr>
          <w:i/>
        </w:rPr>
        <w:t>Bearbeiterin: RAin Dr. Philippa Groth-Steinberg, Klotzkette Rechtsanwaltsgesellschaft mbH, Berlin</w:t>
      </w:r>
    </w:p>
    <w:p>
      <w:pPr>
        <w:jc w:val="left"/>
      </w:pPr>
      <w:r>
        <w:rPr>
          <w:i/>
        </w:rPr>
        <w:t>Erstellt: 18. März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DSA-VLOP-Designation Körnerstrom Social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DSA-VLOP-Designation Körnerstrom Social GmbH</w:t>
    </w:r>
  </w:p>
  <w:p>
    <w:pPr>
      <w:jc w:val="left"/>
      <w:pBdr>
        <w:bottom w:val="single" w:sz="6" w:space="2" w:color="11555F"/>
      </w:pBdr>
    </w:pPr>
    <w:r>
      <w:rPr>
        <w:rFonts w:ascii="Times New Roman" w:hAnsi="Times New Roman"/>
        <w:color w:val="6B6B66"/>
        <w:sz w:val="16"/>
      </w:rPr>
      <w:t>Unternehmen · Az. Kanzlei: KRS-2026-0318-DSA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