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07 — Transparenzberichte nach Art. 15, Art. 24 und Art. 42 DSA: Konsolidierungskonzept</w:t>
      </w:r>
    </w:p>
    <w:p>
      <w:pPr>
        <w:jc w:val="left"/>
      </w:pPr>
      <w:r>
        <w:rPr>
          <w:b/>
        </w:rPr>
        <w:t>Az. Kanzlei:</w:t>
      </w:r>
      <w:r>
        <w:t xml:space="preserve"> KRS-2026-0318-DSA</w:t>
      </w:r>
    </w:p>
    <w:p>
      <w:pPr>
        <w:jc w:val="left"/>
      </w:pPr>
      <w:r>
        <w:rPr>
          <w:b/>
        </w:rPr>
        <w:t>Bearbeitung:</w:t>
      </w:r>
      <w:r>
        <w:t xml:space="preserve"> RAin Dr. Philippa Groth-Steinberg</w:t>
      </w:r>
    </w:p>
    <w:p>
      <w:pPr>
        <w:jc w:val="left"/>
      </w:pPr>
      <w:r>
        <w:rPr>
          <w:b/>
        </w:rPr>
        <w:t>Stand:</w:t>
      </w:r>
      <w:r>
        <w:t xml:space="preserve"> 30. März 2026</w:t>
      </w:r>
    </w:p>
    <w:p/>
    <w:p>
      <w:pPr>
        <w:pStyle w:val="Heading2"/>
      </w:pPr>
      <w:r>
        <w:rPr>
          <w:rFonts w:ascii="Times New Roman" w:hAnsi="Times New Roman"/>
        </w:rPr>
        <w:t>1. Transparenzpflichten im Überblick</w:t>
      </w:r>
    </w:p>
    <w:p>
      <w:pPr>
        <w:jc w:val="left"/>
      </w:pPr>
      <w:r>
        <w:t>Das DSA kennt drei überlagernde Transparenzberichtspflichten, die für Körnerstrom Social GmbH als VLOP kumulativ gelten: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Artikel</w:t>
            </w:r>
          </w:p>
        </w:tc>
        <w:tc>
          <w:tcPr>
            <w:tcW w:type="dxa" w:w="2268"/>
          </w:tcPr>
          <w:p>
            <w:r>
              <w:rPr>
                <w:rFonts w:ascii="Times New Roman" w:hAnsi="Times New Roman"/>
                <w:b/>
                <w:sz w:val="20"/>
              </w:rPr>
              <w:t>Adressaten</w:t>
            </w:r>
          </w:p>
        </w:tc>
        <w:tc>
          <w:tcPr>
            <w:tcW w:type="dxa" w:w="2268"/>
          </w:tcPr>
          <w:p>
            <w:r>
              <w:rPr>
                <w:rFonts w:ascii="Times New Roman" w:hAnsi="Times New Roman"/>
                <w:b/>
                <w:sz w:val="20"/>
              </w:rPr>
              <w:t>Inhalt</w:t>
            </w:r>
          </w:p>
        </w:tc>
        <w:tc>
          <w:tcPr>
            <w:tcW w:type="dxa" w:w="2268"/>
          </w:tcPr>
          <w:p>
            <w:r>
              <w:rPr>
                <w:rFonts w:ascii="Times New Roman" w:hAnsi="Times New Roman"/>
                <w:b/>
                <w:sz w:val="20"/>
              </w:rPr>
              <w:t>Rhythmus</w:t>
            </w:r>
          </w:p>
        </w:tc>
      </w:tr>
      <w:tr>
        <w:tc>
          <w:tcPr>
            <w:tcW w:type="dxa" w:w="2268"/>
          </w:tcPr>
          <w:p>
            <w:r>
              <w:rPr>
                <w:rFonts w:ascii="Times New Roman" w:hAnsi="Times New Roman"/>
                <w:sz w:val="20"/>
              </w:rPr>
              <w:t>Art. 15 DSA</w:t>
            </w:r>
          </w:p>
        </w:tc>
        <w:tc>
          <w:tcPr>
            <w:tcW w:type="dxa" w:w="2268"/>
          </w:tcPr>
          <w:p>
            <w:r>
              <w:rPr>
                <w:rFonts w:ascii="Times New Roman" w:hAnsi="Times New Roman"/>
                <w:sz w:val="20"/>
              </w:rPr>
              <w:t>Alle Hosting-Anbieter</w:t>
            </w:r>
          </w:p>
        </w:tc>
        <w:tc>
          <w:tcPr>
            <w:tcW w:type="dxa" w:w="2268"/>
          </w:tcPr>
          <w:p>
            <w:r>
              <w:rPr>
                <w:rFonts w:ascii="Times New Roman" w:hAnsi="Times New Roman"/>
                <w:sz w:val="20"/>
              </w:rPr>
              <w:t>Allgemeiner Transparenzbericht: Content-Moderation, Entscheidungsvolumen</w:t>
            </w:r>
          </w:p>
        </w:tc>
        <w:tc>
          <w:tcPr>
            <w:tcW w:type="dxa" w:w="2268"/>
          </w:tcPr>
          <w:p>
            <w:r>
              <w:rPr>
                <w:rFonts w:ascii="Times New Roman" w:hAnsi="Times New Roman"/>
                <w:sz w:val="20"/>
              </w:rPr>
              <w:t>Jährlich</w:t>
            </w:r>
          </w:p>
        </w:tc>
      </w:tr>
      <w:tr>
        <w:tc>
          <w:tcPr>
            <w:tcW w:type="dxa" w:w="2268"/>
          </w:tcPr>
          <w:p>
            <w:r>
              <w:rPr>
                <w:rFonts w:ascii="Times New Roman" w:hAnsi="Times New Roman"/>
                <w:sz w:val="20"/>
              </w:rPr>
              <w:t>Art. 24 DSA</w:t>
            </w:r>
          </w:p>
        </w:tc>
        <w:tc>
          <w:tcPr>
            <w:tcW w:type="dxa" w:w="2268"/>
          </w:tcPr>
          <w:p>
            <w:r>
              <w:rPr>
                <w:rFonts w:ascii="Times New Roman" w:hAnsi="Times New Roman"/>
                <w:sz w:val="20"/>
              </w:rPr>
              <w:t>Hosting-Anbieter mit &gt;1 Mio. Nutzern</w:t>
            </w:r>
          </w:p>
        </w:tc>
        <w:tc>
          <w:tcPr>
            <w:tcW w:type="dxa" w:w="2268"/>
          </w:tcPr>
          <w:p>
            <w:r>
              <w:rPr>
                <w:rFonts w:ascii="Times New Roman" w:hAnsi="Times New Roman"/>
                <w:sz w:val="20"/>
              </w:rPr>
              <w:t>Veröffentlichung monatlicher aktiver Nutzerzahlen</w:t>
            </w:r>
          </w:p>
        </w:tc>
        <w:tc>
          <w:tcPr>
            <w:tcW w:type="dxa" w:w="2268"/>
          </w:tcPr>
          <w:p>
            <w:r>
              <w:rPr>
                <w:rFonts w:ascii="Times New Roman" w:hAnsi="Times New Roman"/>
                <w:sz w:val="20"/>
              </w:rPr>
              <w:t>Halbjährlich</w:t>
            </w:r>
          </w:p>
        </w:tc>
      </w:tr>
      <w:tr>
        <w:tc>
          <w:tcPr>
            <w:tcW w:type="dxa" w:w="2268"/>
          </w:tcPr>
          <w:p>
            <w:r>
              <w:rPr>
                <w:rFonts w:ascii="Times New Roman" w:hAnsi="Times New Roman"/>
                <w:sz w:val="20"/>
              </w:rPr>
              <w:t>Art. 42 DSA</w:t>
            </w:r>
          </w:p>
        </w:tc>
        <w:tc>
          <w:tcPr>
            <w:tcW w:type="dxa" w:w="2268"/>
          </w:tcPr>
          <w:p>
            <w:r>
              <w:rPr>
                <w:rFonts w:ascii="Times New Roman" w:hAnsi="Times New Roman"/>
                <w:sz w:val="20"/>
              </w:rPr>
              <w:t>Nur VLOPs</w:t>
            </w:r>
          </w:p>
        </w:tc>
        <w:tc>
          <w:tcPr>
            <w:tcW w:type="dxa" w:w="2268"/>
          </w:tcPr>
          <w:p>
            <w:r>
              <w:rPr>
                <w:rFonts w:ascii="Times New Roman" w:hAnsi="Times New Roman"/>
                <w:sz w:val="20"/>
              </w:rPr>
              <w:t>Erweiterter Transparenzbericht mit spezifischen VLOP-Daten</w:t>
            </w:r>
          </w:p>
        </w:tc>
        <w:tc>
          <w:tcPr>
            <w:tcW w:type="dxa" w:w="2268"/>
          </w:tcPr>
          <w:p>
            <w:r>
              <w:rPr>
                <w:rFonts w:ascii="Times New Roman" w:hAnsi="Times New Roman"/>
                <w:sz w:val="20"/>
              </w:rPr>
              <w:t>Jährlich</w:t>
            </w:r>
          </w:p>
        </w:tc>
      </w:tr>
    </w:tbl>
    <w:p/>
    <w:p>
      <w:pPr>
        <w:pStyle w:val="Heading2"/>
      </w:pPr>
      <w:r>
        <w:rPr>
          <w:rFonts w:ascii="Times New Roman" w:hAnsi="Times New Roman"/>
        </w:rPr>
        <w:t>2. Inhalt des allgemeinen Transparenzberichts (Art. 15 DSA)</w:t>
      </w:r>
    </w:p>
    <w:p>
      <w:pPr>
        <w:jc w:val="left"/>
      </w:pPr>
      <w:r>
        <w:t>Art. 15 Abs. 1 DSA listet folgende Mindestinhalte:</w:t>
      </w:r>
    </w:p>
    <w:p>
      <w:pPr>
        <w:pStyle w:val="ListBullet"/>
      </w:pPr>
      <w:r>
        <w:t>Anzahl und Art der erhaltenen Anordnungen staatlicher Behörden (Entfernung, Auskunft)</w:t>
      </w:r>
    </w:p>
    <w:p>
      <w:pPr>
        <w:pStyle w:val="ListBullet"/>
      </w:pPr>
      <w:r>
        <w:t>Anzahl der Meldungen von Nutzern nach Art. 16 DSA</w:t>
      </w:r>
    </w:p>
    <w:p>
      <w:pPr>
        <w:pStyle w:val="ListBullet"/>
      </w:pPr>
      <w:r>
        <w:t>Anzahl der getroffenen Moderationsentscheidungen (Entfernung, Einschränkung, Deaktivierung)</w:t>
      </w:r>
    </w:p>
    <w:p>
      <w:pPr>
        <w:pStyle w:val="ListBullet"/>
      </w:pPr>
      <w:r>
        <w:t>Medianer Bearbeitungszeitraum</w:t>
      </w:r>
    </w:p>
    <w:p>
      <w:pPr>
        <w:pStyle w:val="ListBullet"/>
      </w:pPr>
      <w:r>
        <w:t>Anzahl der Widersprüche und Ergebnis der internen Beschwerdeverfahren</w:t>
      </w:r>
    </w:p>
    <w:p>
      <w:pPr>
        <w:jc w:val="left"/>
      </w:pPr>
      <w:r>
        <w:rPr>
          <w:b/>
        </w:rPr>
        <w:t>Status Körnerstrom Social GmbH:</w:t>
      </w:r>
      <w:r>
        <w:t xml:space="preserve"> Ein Art. 15-Bericht für 2025 wurde am 15. Februar 2026 veröffentlicht. Mängel: Bearbeitungszeitraum nicht nach Inhaltskategorie aufgeschlüsselt; Widerspruchsergebnisse fehlen.</w:t>
      </w:r>
    </w:p>
    <w:p/>
    <w:p>
      <w:pPr>
        <w:pStyle w:val="Heading2"/>
      </w:pPr>
      <w:r>
        <w:rPr>
          <w:rFonts w:ascii="Times New Roman" w:hAnsi="Times New Roman"/>
        </w:rPr>
        <w:t>3. Inhalt des erweiterten VLOP-Transparenzberichts (Art. 42 DSA)</w:t>
      </w:r>
    </w:p>
    <w:p>
      <w:pPr>
        <w:jc w:val="left"/>
      </w:pPr>
      <w:r>
        <w:t>Art. 42 DSA verlangt zusätzlich:</w:t>
      </w:r>
    </w:p>
    <w:p>
      <w:pPr>
        <w:pStyle w:val="ListBullet"/>
      </w:pPr>
      <w:r>
        <w:t>Darstellung der systemischen Risikobewertung (Art. 34 DSA) in zusammengefasster Form</w:t>
      </w:r>
    </w:p>
    <w:p>
      <w:pPr>
        <w:pStyle w:val="ListBullet"/>
      </w:pPr>
      <w:r>
        <w:t>Beschreibung der Risikominderungsmaßnahmen (Art. 35 DSA)</w:t>
      </w:r>
    </w:p>
    <w:p>
      <w:pPr>
        <w:pStyle w:val="ListBullet"/>
      </w:pPr>
      <w:r>
        <w:t>Ergebnisse des externen Audits nach Art. 37 DSA (nicht vertrauliche Zusammenfassung)</w:t>
      </w:r>
    </w:p>
    <w:p>
      <w:pPr>
        <w:pStyle w:val="ListBullet"/>
      </w:pPr>
      <w:r>
        <w:t>Statistiken zu Trusted Flagger-Meldungen nach Art. 22 DSA</w:t>
      </w:r>
    </w:p>
    <w:p>
      <w:pPr>
        <w:pStyle w:val="ListBullet"/>
      </w:pPr>
      <w:r>
        <w:t>Angaben zu den verwendeten Empfehlungssystemen nach Art. 27 DSA</w:t>
      </w:r>
    </w:p>
    <w:p>
      <w:pPr>
        <w:pStyle w:val="ListBullet"/>
      </w:pPr>
      <w:r>
        <w:t>Überblick über Werbetargeting-Praktiken</w:t>
      </w:r>
    </w:p>
    <w:p>
      <w:pPr>
        <w:jc w:val="left"/>
      </w:pPr>
      <w:r>
        <w:rPr>
          <w:b/>
        </w:rPr>
        <w:t>Status:</w:t>
      </w:r>
      <w:r>
        <w:t xml:space="preserve"> Erstmaliger VLOP-Transparenzbericht für H1/2026 ist zu erstellen. Stichtag: 31. August 2026.</w:t>
      </w:r>
    </w:p>
    <w:p/>
    <w:p>
      <w:pPr>
        <w:pStyle w:val="Heading2"/>
      </w:pPr>
      <w:r>
        <w:rPr>
          <w:rFonts w:ascii="Times New Roman" w:hAnsi="Times New Roman"/>
        </w:rPr>
        <w:t>4. Konsolidierungskonzept</w:t>
      </w:r>
    </w:p>
    <w:p>
      <w:pPr>
        <w:jc w:val="left"/>
      </w:pPr>
      <w:r>
        <w:t>Um Redundanzen zu vermeiden und eine kohärente Außendarstellung zu gewährleisten, empfiehlt die Kanzlei einen integrierten Transparency Report, der die Anforderungen aus Art. 15 und Art. 42 DSA in einem Dokument zusammenführt. Art. 24 DSA-Nutzerzahlen werden separat halbjährlich veröffentlicht.</w:t>
      </w:r>
    </w:p>
    <w:p>
      <w:pPr>
        <w:pStyle w:val="Heading3"/>
      </w:pPr>
      <w:r>
        <w:rPr>
          <w:rFonts w:ascii="Times New Roman" w:hAnsi="Times New Roman"/>
        </w:rPr>
        <w:t>Gliederungsvorschlag Integrated Transparency Report H1/2026</w:t>
      </w:r>
    </w:p>
    <w:p>
      <w:pPr>
        <w:jc w:val="left"/>
      </w:pPr>
      <w:r>
        <w:t>```</w:t>
      </w:r>
    </w:p>
    <w:p>
      <w:pPr>
        <w:pStyle w:val="ListNumber"/>
      </w:pPr>
      <w:r>
        <w:t>Einführung und Überblick über Halmweise.de</w:t>
      </w:r>
    </w:p>
    <w:p>
      <w:pPr>
        <w:pStyle w:val="ListNumber"/>
      </w:pPr>
      <w:r>
        <w:t>Plattformstatistiken (Art. 15, Art. 24 DSA)</w:t>
      </w:r>
    </w:p>
    <w:p>
      <w:pPr>
        <w:jc w:val="left"/>
      </w:pPr>
      <w:r>
        <w:t>2.1 Aktive Nutzer EU (51 Mio., Dezember 2025)</w:t>
      </w:r>
    </w:p>
    <w:p>
      <w:pPr>
        <w:jc w:val="left"/>
      </w:pPr>
      <w:r>
        <w:t>2.2 Content-Moderation-Statistiken</w:t>
      </w:r>
    </w:p>
    <w:p>
      <w:pPr>
        <w:jc w:val="left"/>
      </w:pPr>
      <w:r>
        <w:t>2.3 Notice-and-Action-Statistiken (Art. 16 DSA)</w:t>
      </w:r>
    </w:p>
    <w:p>
      <w:pPr>
        <w:pStyle w:val="ListNumber"/>
      </w:pPr>
      <w:r>
        <w:t>Systemische Risikobewertung (Art. 34 DSA) — Zusammenfassung</w:t>
      </w:r>
    </w:p>
    <w:p>
      <w:pPr>
        <w:pStyle w:val="ListNumber"/>
      </w:pPr>
      <w:r>
        <w:t>Risikominderungsmaßnahmen (Art. 35 DSA) — Zusammenfassung</w:t>
      </w:r>
    </w:p>
    <w:p>
      <w:pPr>
        <w:pStyle w:val="ListNumber"/>
      </w:pPr>
      <w:r>
        <w:t>Empfehlungssysteme (Art. 27 DSA)</w:t>
      </w:r>
    </w:p>
    <w:p>
      <w:pPr>
        <w:jc w:val="left"/>
      </w:pPr>
      <w:r>
        <w:t>5.1 HalmRank — Beschreibung</w:t>
      </w:r>
    </w:p>
    <w:p>
      <w:pPr>
        <w:jc w:val="left"/>
      </w:pPr>
      <w:r>
        <w:t>5.2 Non-Profiling-Option</w:t>
      </w:r>
    </w:p>
    <w:p>
      <w:pPr>
        <w:pStyle w:val="ListNumber"/>
      </w:pPr>
      <w:r>
        <w:t>Werbetransparenz (Art. 39 DSA)</w:t>
      </w:r>
    </w:p>
    <w:p>
      <w:pPr>
        <w:pStyle w:val="ListNumber"/>
      </w:pPr>
      <w:r>
        <w:t>Trusted Flagger — Statistiken (Art. 22 DSA)</w:t>
      </w:r>
    </w:p>
    <w:p>
      <w:pPr>
        <w:pStyle w:val="ListNumber"/>
      </w:pPr>
      <w:r>
        <w:t>Externer Audit — Zusammenfassung (Art. 37 DSA)</w:t>
      </w:r>
    </w:p>
    <w:p>
      <w:pPr>
        <w:pStyle w:val="ListNumber"/>
      </w:pPr>
      <w:r>
        <w:t>Forschungsdatenzugang (Art. 40 DSA) — Status</w:t>
      </w:r>
    </w:p>
    <w:p>
      <w:pPr>
        <w:pStyle w:val="ListNumber"/>
      </w:pPr>
      <w:r>
        <w:t>Aufsichtsabgabe (Art. 43 DSA) — Angaben</w:t>
      </w:r>
    </w:p>
    <w:p>
      <w:pPr>
        <w:jc w:val="left"/>
      </w:pPr>
      <w:r>
        <w:t>```</w:t>
      </w:r>
    </w:p>
    <w:p/>
    <w:p>
      <w:pPr>
        <w:pStyle w:val="Heading2"/>
      </w:pPr>
      <w:r>
        <w:rPr>
          <w:rFonts w:ascii="Times New Roman" w:hAnsi="Times New Roman"/>
        </w:rPr>
        <w:t>5. Sprache und Veröffentlichung</w:t>
      </w:r>
    </w:p>
    <w:p>
      <w:pPr>
        <w:jc w:val="left"/>
      </w:pPr>
      <w:r>
        <w:t>Der Transparenzbericht ist nach Art. 42 Abs. 1 DSA in der Sprache der Hauptniederlassung (Deutsch) sowie auf Englisch zu veröffentlichen. Die Veröffentlichung erfolgt auf der Halmweise.de-Website in einem leicht zugänglichen Bereich.</w:t>
      </w:r>
    </w:p>
    <w:p>
      <w:pPr>
        <w:jc w:val="left"/>
      </w:pPr>
      <w:r>
        <w:t>Die Kommission führt ein öffentliches Register der Transparenzberichte aller VLOPs (Art. 42 Abs. 6 DSA). Der Bericht ist dort einzureichen.</w:t>
      </w:r>
    </w:p>
    <w:p/>
    <w:p>
      <w:pPr>
        <w:pStyle w:val="Heading2"/>
      </w:pPr>
      <w:r>
        <w:rPr>
          <w:rFonts w:ascii="Times New Roman" w:hAnsi="Times New Roman"/>
        </w:rPr>
        <w:t>6. Koordination mit internen Abteilungen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Kapitel</w:t>
            </w:r>
          </w:p>
        </w:tc>
        <w:tc>
          <w:tcPr>
            <w:tcW w:type="dxa" w:w="3024"/>
          </w:tcPr>
          <w:p>
            <w:r>
              <w:rPr>
                <w:rFonts w:ascii="Times New Roman" w:hAnsi="Times New Roman"/>
                <w:b/>
                <w:sz w:val="20"/>
              </w:rPr>
              <w:t>Zulieferung durch</w:t>
            </w:r>
          </w:p>
        </w:tc>
        <w:tc>
          <w:tcPr>
            <w:tcW w:type="dxa" w:w="3024"/>
          </w:tcPr>
          <w:p>
            <w:r>
              <w:rPr>
                <w:rFonts w:ascii="Times New Roman" w:hAnsi="Times New Roman"/>
                <w:b/>
                <w:sz w:val="20"/>
              </w:rPr>
              <w:t>Deadline intern</w:t>
            </w:r>
          </w:p>
        </w:tc>
      </w:tr>
      <w:tr>
        <w:tc>
          <w:tcPr>
            <w:tcW w:type="dxa" w:w="3024"/>
          </w:tcPr>
          <w:p>
            <w:r>
              <w:rPr>
                <w:rFonts w:ascii="Times New Roman" w:hAnsi="Times New Roman"/>
                <w:sz w:val="20"/>
              </w:rPr>
              <w:t>Nutzerstatistiken</w:t>
            </w:r>
          </w:p>
        </w:tc>
        <w:tc>
          <w:tcPr>
            <w:tcW w:type="dxa" w:w="3024"/>
          </w:tcPr>
          <w:p>
            <w:r>
              <w:rPr>
                <w:rFonts w:ascii="Times New Roman" w:hAnsi="Times New Roman"/>
                <w:sz w:val="20"/>
              </w:rPr>
              <w:t>Analytics-Team</w:t>
            </w:r>
          </w:p>
        </w:tc>
        <w:tc>
          <w:tcPr>
            <w:tcW w:type="dxa" w:w="3024"/>
          </w:tcPr>
          <w:p>
            <w:r>
              <w:rPr>
                <w:rFonts w:ascii="Times New Roman" w:hAnsi="Times New Roman"/>
                <w:sz w:val="20"/>
              </w:rPr>
              <w:t>01.07.2026</w:t>
            </w:r>
          </w:p>
        </w:tc>
      </w:tr>
      <w:tr>
        <w:tc>
          <w:tcPr>
            <w:tcW w:type="dxa" w:w="3024"/>
          </w:tcPr>
          <w:p>
            <w:r>
              <w:rPr>
                <w:rFonts w:ascii="Times New Roman" w:hAnsi="Times New Roman"/>
                <w:sz w:val="20"/>
              </w:rPr>
              <w:t>Moderation-Statistiken</w:t>
            </w:r>
          </w:p>
        </w:tc>
        <w:tc>
          <w:tcPr>
            <w:tcW w:type="dxa" w:w="3024"/>
          </w:tcPr>
          <w:p>
            <w:r>
              <w:rPr>
                <w:rFonts w:ascii="Times New Roman" w:hAnsi="Times New Roman"/>
                <w:sz w:val="20"/>
              </w:rPr>
              <w:t>Trust &amp; Safety</w:t>
            </w:r>
          </w:p>
        </w:tc>
        <w:tc>
          <w:tcPr>
            <w:tcW w:type="dxa" w:w="3024"/>
          </w:tcPr>
          <w:p>
            <w:r>
              <w:rPr>
                <w:rFonts w:ascii="Times New Roman" w:hAnsi="Times New Roman"/>
                <w:sz w:val="20"/>
              </w:rPr>
              <w:t>01.07.2026</w:t>
            </w:r>
          </w:p>
        </w:tc>
      </w:tr>
      <w:tr>
        <w:tc>
          <w:tcPr>
            <w:tcW w:type="dxa" w:w="3024"/>
          </w:tcPr>
          <w:p>
            <w:r>
              <w:rPr>
                <w:rFonts w:ascii="Times New Roman" w:hAnsi="Times New Roman"/>
                <w:sz w:val="20"/>
              </w:rPr>
              <w:t>Algorithmus-Beschreibung</w:t>
            </w:r>
          </w:p>
        </w:tc>
        <w:tc>
          <w:tcPr>
            <w:tcW w:type="dxa" w:w="3024"/>
          </w:tcPr>
          <w:p>
            <w:r>
              <w:rPr>
                <w:rFonts w:ascii="Times New Roman" w:hAnsi="Times New Roman"/>
                <w:sz w:val="20"/>
              </w:rPr>
              <w:t>CTO / Tech</w:t>
            </w:r>
          </w:p>
        </w:tc>
        <w:tc>
          <w:tcPr>
            <w:tcW w:type="dxa" w:w="3024"/>
          </w:tcPr>
          <w:p>
            <w:r>
              <w:rPr>
                <w:rFonts w:ascii="Times New Roman" w:hAnsi="Times New Roman"/>
                <w:sz w:val="20"/>
              </w:rPr>
              <w:t>15.06.2026</w:t>
            </w:r>
          </w:p>
        </w:tc>
      </w:tr>
      <w:tr>
        <w:tc>
          <w:tcPr>
            <w:tcW w:type="dxa" w:w="3024"/>
          </w:tcPr>
          <w:p>
            <w:r>
              <w:rPr>
                <w:rFonts w:ascii="Times New Roman" w:hAnsi="Times New Roman"/>
                <w:sz w:val="20"/>
              </w:rPr>
              <w:t>Risikobewertung-Zusammenfassung</w:t>
            </w:r>
          </w:p>
        </w:tc>
        <w:tc>
          <w:tcPr>
            <w:tcW w:type="dxa" w:w="3024"/>
          </w:tcPr>
          <w:p>
            <w:r>
              <w:rPr>
                <w:rFonts w:ascii="Times New Roman" w:hAnsi="Times New Roman"/>
                <w:sz w:val="20"/>
              </w:rPr>
              <w:t>Legal</w:t>
            </w:r>
          </w:p>
        </w:tc>
        <w:tc>
          <w:tcPr>
            <w:tcW w:type="dxa" w:w="3024"/>
          </w:tcPr>
          <w:p>
            <w:r>
              <w:rPr>
                <w:rFonts w:ascii="Times New Roman" w:hAnsi="Times New Roman"/>
                <w:sz w:val="20"/>
              </w:rPr>
              <w:t>15.06.2026</w:t>
            </w:r>
          </w:p>
        </w:tc>
      </w:tr>
      <w:tr>
        <w:tc>
          <w:tcPr>
            <w:tcW w:type="dxa" w:w="3024"/>
          </w:tcPr>
          <w:p>
            <w:r>
              <w:rPr>
                <w:rFonts w:ascii="Times New Roman" w:hAnsi="Times New Roman"/>
                <w:sz w:val="20"/>
              </w:rPr>
              <w:t>Audit-Zusammenfassung</w:t>
            </w:r>
          </w:p>
        </w:tc>
        <w:tc>
          <w:tcPr>
            <w:tcW w:type="dxa" w:w="3024"/>
          </w:tcPr>
          <w:p>
            <w:r>
              <w:rPr>
                <w:rFonts w:ascii="Times New Roman" w:hAnsi="Times New Roman"/>
                <w:sz w:val="20"/>
              </w:rPr>
              <w:t>PwC / Legal</w:t>
            </w:r>
          </w:p>
        </w:tc>
        <w:tc>
          <w:tcPr>
            <w:tcW w:type="dxa" w:w="3024"/>
          </w:tcPr>
          <w:p>
            <w:r>
              <w:rPr>
                <w:rFonts w:ascii="Times New Roman" w:hAnsi="Times New Roman"/>
                <w:sz w:val="20"/>
              </w:rPr>
              <w:t>20.07.2026</w:t>
            </w:r>
          </w:p>
        </w:tc>
      </w:tr>
      <w:tr>
        <w:tc>
          <w:tcPr>
            <w:tcW w:type="dxa" w:w="3024"/>
          </w:tcPr>
          <w:p>
            <w:r>
              <w:rPr>
                <w:rFonts w:ascii="Times New Roman" w:hAnsi="Times New Roman"/>
                <w:sz w:val="20"/>
              </w:rPr>
              <w:t>Werbedaten</w:t>
            </w:r>
          </w:p>
        </w:tc>
        <w:tc>
          <w:tcPr>
            <w:tcW w:type="dxa" w:w="3024"/>
          </w:tcPr>
          <w:p>
            <w:r>
              <w:rPr>
                <w:rFonts w:ascii="Times New Roman" w:hAnsi="Times New Roman"/>
                <w:sz w:val="20"/>
              </w:rPr>
              <w:t>Sales/Adtech</w:t>
            </w:r>
          </w:p>
        </w:tc>
        <w:tc>
          <w:tcPr>
            <w:tcW w:type="dxa" w:w="3024"/>
          </w:tcPr>
          <w:p>
            <w:r>
              <w:rPr>
                <w:rFonts w:ascii="Times New Roman" w:hAnsi="Times New Roman"/>
                <w:sz w:val="20"/>
              </w:rPr>
              <w:t>01.07.2026</w:t>
            </w:r>
          </w:p>
        </w:tc>
      </w:tr>
    </w:tbl>
    <w:p>
      <w:pPr>
        <w:jc w:val="left"/>
      </w:pPr>
      <w:r>
        <w:rPr>
          <w:b/>
        </w:rPr>
        <w:t>Gesamtredaktion:</w:t>
      </w:r>
      <w:r>
        <w:t xml:space="preserve"> Lena Maaßen (Legal Counsel intern) in Abstimmung mit Kanzlei.</w:t>
      </w:r>
    </w:p>
    <w:p/>
    <w:p>
      <w:pPr>
        <w:pStyle w:val="Heading2"/>
      </w:pPr>
      <w:r>
        <w:rPr>
          <w:rFonts w:ascii="Times New Roman" w:hAnsi="Times New Roman"/>
        </w:rPr>
        <w:t>7. Rechtsgrundlagen</w:t>
      </w:r>
    </w:p>
    <w:p>
      <w:pPr>
        <w:pStyle w:val="ListBullet"/>
      </w:pPr>
      <w:r>
        <w:t>Art. 15 DSA (EU) 2022/2065 — Allgemeiner Transparenzbericht</w:t>
      </w:r>
    </w:p>
    <w:p>
      <w:pPr>
        <w:pStyle w:val="ListBullet"/>
      </w:pPr>
      <w:r>
        <w:t>Art. 24 DSA — Nutzerzahlenmeldung</w:t>
      </w:r>
    </w:p>
    <w:p>
      <w:pPr>
        <w:pStyle w:val="ListBullet"/>
      </w:pPr>
      <w:r>
        <w:t>Art. 42 DSA — Erweiterter VLOP-Transparenzbericht</w:t>
      </w:r>
    </w:p>
    <w:p>
      <w:pPr>
        <w:jc w:val="left"/>
      </w:pPr>
      <w:r>
        <w:rPr>
          <w:b/>
        </w:rPr>
        <w:t>Quellen:</w:t>
      </w:r>
    </w:p>
    <w:p>
      <w:pPr>
        <w:pStyle w:val="ListBullet"/>
      </w:pPr>
      <w:r>
        <w:t>Verordnung (EU) 2022/2065 (DSA), EUR-Lex: https://eur-lex.europa.eu/legal-content/DE/TXT/?uri=CELEX%3A32022R2065</w:t>
      </w:r>
    </w:p>
    <w:p/>
    <w:p>
      <w:pPr>
        <w:jc w:val="left"/>
      </w:pPr>
      <w:r>
        <w:rPr>
          <w:i/>
        </w:rPr>
        <w:t>Bearbeiterin: RAin Dr. Philippa Groth-Steinberg</w:t>
      </w:r>
    </w:p>
    <w:p>
      <w:pPr>
        <w:jc w:val="left"/>
      </w:pPr>
      <w:r>
        <w:rPr>
          <w:i/>
        </w:rPr>
        <w:t>Stand: 30. März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Körnerstrom Social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Körnerstrom Social GmbH</w:t>
    </w:r>
  </w:p>
  <w:p>
    <w:pPr>
      <w:jc w:val="left"/>
      <w:pBdr>
        <w:bottom w:val="single" w:sz="6" w:space="2" w:color="11555F"/>
      </w:pBdr>
    </w:pPr>
    <w:r>
      <w:rPr>
        <w:rFonts w:ascii="Times New Roman" w:hAnsi="Times New Roman"/>
        <w:color w:val="6B6B66"/>
        <w:sz w:val="16"/>
      </w:rPr>
      <w:t>die für Körnerstrom Social GmbH als VLOP kumulativ gelten: · Az. Kanzlei: KRS-2026-0318-DSA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