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19 — Klagewege: EuGH-Vorabentscheidung nach Art. 267 AEUV</w:t>
      </w:r>
    </w:p>
    <w:p>
      <w:pPr>
        <w:jc w:val="left"/>
      </w:pPr>
      <w:r>
        <w:rPr>
          <w:b/>
        </w:rPr>
        <w:t>Az. Kanzlei:</w:t>
      </w:r>
      <w:r>
        <w:t xml:space="preserve"> KRS-2026-0318-DSA</w:t>
      </w:r>
    </w:p>
    <w:p>
      <w:pPr>
        <w:jc w:val="left"/>
      </w:pPr>
      <w:r>
        <w:rPr>
          <w:b/>
        </w:rPr>
        <w:t>Bearbeitung:</w:t>
      </w:r>
      <w:r>
        <w:t xml:space="preserve"> RAin Dr. Philippa Groth-Steinberg</w:t>
      </w:r>
    </w:p>
    <w:p>
      <w:pPr>
        <w:jc w:val="left"/>
      </w:pPr>
      <w:r>
        <w:rPr>
          <w:b/>
        </w:rPr>
        <w:t>Stand:</w:t>
      </w:r>
      <w:r>
        <w:t xml:space="preserve"> 18. April 2026</w:t>
      </w:r>
    </w:p>
    <w:p/>
    <w:p>
      <w:pPr>
        <w:pStyle w:val="Heading2"/>
      </w:pPr>
      <w:r>
        <w:rPr>
          <w:rFonts w:ascii="Times New Roman" w:hAnsi="Times New Roman"/>
        </w:rPr>
        <w:t>1. Überblick Rechtsschutzwege</w:t>
      </w:r>
    </w:p>
    <w:p>
      <w:pPr>
        <w:jc w:val="left"/>
      </w:pPr>
      <w:r>
        <w:t>Im DSA-Kontext kommen für Körnerstrom Social GmbH folgende Rechtsschutzmechanismen in Betracht: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Rechtsbehelf</w:t>
            </w:r>
          </w:p>
        </w:tc>
        <w:tc>
          <w:tcPr>
            <w:tcW w:type="dxa" w:w="2268"/>
          </w:tcPr>
          <w:p>
            <w:r>
              <w:rPr>
                <w:rFonts w:ascii="Times New Roman" w:hAnsi="Times New Roman"/>
                <w:b/>
                <w:sz w:val="20"/>
              </w:rPr>
              <w:t>Grundlage</w:t>
            </w:r>
          </w:p>
        </w:tc>
        <w:tc>
          <w:tcPr>
            <w:tcW w:type="dxa" w:w="2268"/>
          </w:tcPr>
          <w:p>
            <w:r>
              <w:rPr>
                <w:rFonts w:ascii="Times New Roman" w:hAnsi="Times New Roman"/>
                <w:b/>
                <w:sz w:val="20"/>
              </w:rPr>
              <w:t>Ziel</w:t>
            </w:r>
          </w:p>
        </w:tc>
        <w:tc>
          <w:tcPr>
            <w:tcW w:type="dxa" w:w="2268"/>
          </w:tcPr>
          <w:p>
            <w:r>
              <w:rPr>
                <w:rFonts w:ascii="Times New Roman" w:hAnsi="Times New Roman"/>
                <w:b/>
                <w:sz w:val="20"/>
              </w:rPr>
              <w:t>Zuständiges Gericht</w:t>
            </w:r>
          </w:p>
        </w:tc>
      </w:tr>
      <w:tr>
        <w:tc>
          <w:tcPr>
            <w:tcW w:type="dxa" w:w="2268"/>
          </w:tcPr>
          <w:p>
            <w:r>
              <w:rPr>
                <w:rFonts w:ascii="Times New Roman" w:hAnsi="Times New Roman"/>
                <w:sz w:val="20"/>
              </w:rPr>
              <w:t>Nichtigkeitsklage gegen Designationsbeschluss</w:t>
            </w:r>
          </w:p>
        </w:tc>
        <w:tc>
          <w:tcPr>
            <w:tcW w:type="dxa" w:w="2268"/>
          </w:tcPr>
          <w:p>
            <w:r>
              <w:rPr>
                <w:rFonts w:ascii="Times New Roman" w:hAnsi="Times New Roman"/>
                <w:sz w:val="20"/>
              </w:rPr>
              <w:t>Art. 263 AEUV</w:t>
            </w:r>
          </w:p>
        </w:tc>
        <w:tc>
          <w:tcPr>
            <w:tcW w:type="dxa" w:w="2268"/>
          </w:tcPr>
          <w:p>
            <w:r>
              <w:rPr>
                <w:rFonts w:ascii="Times New Roman" w:hAnsi="Times New Roman"/>
                <w:sz w:val="20"/>
              </w:rPr>
              <w:t>Aufhebung des Designationsbeschlusses</w:t>
            </w:r>
          </w:p>
        </w:tc>
        <w:tc>
          <w:tcPr>
            <w:tcW w:type="dxa" w:w="2268"/>
          </w:tcPr>
          <w:p>
            <w:r>
              <w:rPr>
                <w:rFonts w:ascii="Times New Roman" w:hAnsi="Times New Roman"/>
                <w:sz w:val="20"/>
              </w:rPr>
              <w:t>Gericht der EU (EuG)</w:t>
            </w:r>
          </w:p>
        </w:tc>
      </w:tr>
      <w:tr>
        <w:tc>
          <w:tcPr>
            <w:tcW w:type="dxa" w:w="2268"/>
          </w:tcPr>
          <w:p>
            <w:r>
              <w:rPr>
                <w:rFonts w:ascii="Times New Roman" w:hAnsi="Times New Roman"/>
                <w:sz w:val="20"/>
              </w:rPr>
              <w:t>Nichtigkeitsklage gegen Bußgeldbescheid</w:t>
            </w:r>
          </w:p>
        </w:tc>
        <w:tc>
          <w:tcPr>
            <w:tcW w:type="dxa" w:w="2268"/>
          </w:tcPr>
          <w:p>
            <w:r>
              <w:rPr>
                <w:rFonts w:ascii="Times New Roman" w:hAnsi="Times New Roman"/>
                <w:sz w:val="20"/>
              </w:rPr>
              <w:t>Art. 263 AEUV</w:t>
            </w:r>
          </w:p>
        </w:tc>
        <w:tc>
          <w:tcPr>
            <w:tcW w:type="dxa" w:w="2268"/>
          </w:tcPr>
          <w:p>
            <w:r>
              <w:rPr>
                <w:rFonts w:ascii="Times New Roman" w:hAnsi="Times New Roman"/>
                <w:sz w:val="20"/>
              </w:rPr>
              <w:t>Aufhebung oder Reduktion des Bußgelds</w:t>
            </w:r>
          </w:p>
        </w:tc>
        <w:tc>
          <w:tcPr>
            <w:tcW w:type="dxa" w:w="2268"/>
          </w:tcPr>
          <w:p>
            <w:r>
              <w:rPr>
                <w:rFonts w:ascii="Times New Roman" w:hAnsi="Times New Roman"/>
                <w:sz w:val="20"/>
              </w:rPr>
              <w:t>Gericht der EU (EuG)</w:t>
            </w:r>
          </w:p>
        </w:tc>
      </w:tr>
      <w:tr>
        <w:tc>
          <w:tcPr>
            <w:tcW w:type="dxa" w:w="2268"/>
          </w:tcPr>
          <w:p>
            <w:r>
              <w:rPr>
                <w:rFonts w:ascii="Times New Roman" w:hAnsi="Times New Roman"/>
                <w:sz w:val="20"/>
              </w:rPr>
              <w:t>Vorabentscheidungsersuchen</w:t>
            </w:r>
          </w:p>
        </w:tc>
        <w:tc>
          <w:tcPr>
            <w:tcW w:type="dxa" w:w="2268"/>
          </w:tcPr>
          <w:p>
            <w:r>
              <w:rPr>
                <w:rFonts w:ascii="Times New Roman" w:hAnsi="Times New Roman"/>
                <w:sz w:val="20"/>
              </w:rPr>
              <w:t>Art. 267 AEUV</w:t>
            </w:r>
          </w:p>
        </w:tc>
        <w:tc>
          <w:tcPr>
            <w:tcW w:type="dxa" w:w="2268"/>
          </w:tcPr>
          <w:p>
            <w:r>
              <w:rPr>
                <w:rFonts w:ascii="Times New Roman" w:hAnsi="Times New Roman"/>
                <w:sz w:val="20"/>
              </w:rPr>
              <w:t>Auslegung von DSA-Normen</w:t>
            </w:r>
          </w:p>
        </w:tc>
        <w:tc>
          <w:tcPr>
            <w:tcW w:type="dxa" w:w="2268"/>
          </w:tcPr>
          <w:p>
            <w:r>
              <w:rPr>
                <w:rFonts w:ascii="Times New Roman" w:hAnsi="Times New Roman"/>
                <w:sz w:val="20"/>
              </w:rPr>
              <w:t>EuGH</w:t>
            </w:r>
          </w:p>
        </w:tc>
      </w:tr>
      <w:tr>
        <w:tc>
          <w:tcPr>
            <w:tcW w:type="dxa" w:w="2268"/>
          </w:tcPr>
          <w:p>
            <w:r>
              <w:rPr>
                <w:rFonts w:ascii="Times New Roman" w:hAnsi="Times New Roman"/>
                <w:sz w:val="20"/>
              </w:rPr>
              <w:t>Verwaltungsklage gegen BNetzA-Bescheid</w:t>
            </w:r>
          </w:p>
        </w:tc>
        <w:tc>
          <w:tcPr>
            <w:tcW w:type="dxa" w:w="2268"/>
          </w:tcPr>
          <w:p>
            <w:r>
              <w:rPr>
                <w:rFonts w:ascii="Times New Roman" w:hAnsi="Times New Roman"/>
                <w:sz w:val="20"/>
              </w:rPr>
              <w:t>§ 20 ff. VwGO</w:t>
            </w:r>
          </w:p>
        </w:tc>
        <w:tc>
          <w:tcPr>
            <w:tcW w:type="dxa" w:w="2268"/>
          </w:tcPr>
          <w:p>
            <w:r>
              <w:rPr>
                <w:rFonts w:ascii="Times New Roman" w:hAnsi="Times New Roman"/>
                <w:sz w:val="20"/>
              </w:rPr>
              <w:t>Aufhebung nationaler Sanktionen</w:t>
            </w:r>
          </w:p>
        </w:tc>
        <w:tc>
          <w:tcPr>
            <w:tcW w:type="dxa" w:w="2268"/>
          </w:tcPr>
          <w:p>
            <w:r>
              <w:rPr>
                <w:rFonts w:ascii="Times New Roman" w:hAnsi="Times New Roman"/>
                <w:sz w:val="20"/>
              </w:rPr>
              <w:t>VG Köln (Sitz BNetzA)</w:t>
            </w:r>
          </w:p>
        </w:tc>
      </w:tr>
      <w:tr>
        <w:tc>
          <w:tcPr>
            <w:tcW w:type="dxa" w:w="2268"/>
          </w:tcPr>
          <w:p>
            <w:r>
              <w:rPr>
                <w:rFonts w:ascii="Times New Roman" w:hAnsi="Times New Roman"/>
                <w:sz w:val="20"/>
              </w:rPr>
              <w:t>Klage auf EuGH-Vorabentscheidung (indirekt)</w:t>
            </w:r>
          </w:p>
        </w:tc>
        <w:tc>
          <w:tcPr>
            <w:tcW w:type="dxa" w:w="2268"/>
          </w:tcPr>
          <w:p>
            <w:r>
              <w:rPr>
                <w:rFonts w:ascii="Times New Roman" w:hAnsi="Times New Roman"/>
                <w:sz w:val="20"/>
              </w:rPr>
              <w:t>Art. 267 AEUV</w:t>
            </w:r>
          </w:p>
        </w:tc>
        <w:tc>
          <w:tcPr>
            <w:tcW w:type="dxa" w:w="2268"/>
          </w:tcPr>
          <w:p>
            <w:r>
              <w:rPr>
                <w:rFonts w:ascii="Times New Roman" w:hAnsi="Times New Roman"/>
                <w:sz w:val="20"/>
              </w:rPr>
              <w:t>Über nationales Gericht</w:t>
            </w:r>
          </w:p>
        </w:tc>
        <w:tc>
          <w:tcPr>
            <w:tcW w:type="dxa" w:w="2268"/>
          </w:tcPr>
          <w:p>
            <w:r>
              <w:rPr>
                <w:rFonts w:ascii="Times New Roman" w:hAnsi="Times New Roman"/>
                <w:sz w:val="20"/>
              </w:rPr>
              <w:t>EuGH</w:t>
            </w:r>
          </w:p>
        </w:tc>
      </w:tr>
    </w:tbl>
    <w:p/>
    <w:p>
      <w:pPr>
        <w:pStyle w:val="Heading2"/>
      </w:pPr>
      <w:r>
        <w:rPr>
          <w:rFonts w:ascii="Times New Roman" w:hAnsi="Times New Roman"/>
        </w:rPr>
        <w:t>2. Vorabentscheidungsverfahren nach Art. 267 AEUV</w:t>
      </w:r>
    </w:p>
    <w:p>
      <w:pPr>
        <w:pStyle w:val="Heading3"/>
      </w:pPr>
      <w:r>
        <w:rPr>
          <w:rFonts w:ascii="Times New Roman" w:hAnsi="Times New Roman"/>
        </w:rPr>
        <w:t>2.1 Systematik</w:t>
      </w:r>
    </w:p>
    <w:p>
      <w:pPr>
        <w:jc w:val="left"/>
      </w:pPr>
      <w:r>
        <w:t>Das Vorabentscheidungsverfahren nach Art. 267 AEUV ist kein direkter Rechtsbehelf der Partei, sondern ein Kooperationsmechanismus zwischen nationalen Gerichten und dem EuGH. Jedes mitgliedstaatliche Gericht — und bei letzter Instanz ist es zur Vorlage verpflichtet — kann eine Frage zur Auslegung oder Gültigkeit von EU-Recht dem EuGH vorlegen.</w:t>
      </w:r>
    </w:p>
    <w:p>
      <w:pPr>
        <w:pStyle w:val="Heading3"/>
      </w:pPr>
      <w:r>
        <w:rPr>
          <w:rFonts w:ascii="Times New Roman" w:hAnsi="Times New Roman"/>
        </w:rPr>
        <w:t>2.2 Relevanz für Körnerstrom Social GmbH</w:t>
      </w:r>
    </w:p>
    <w:p>
      <w:pPr>
        <w:jc w:val="left"/>
      </w:pPr>
      <w:r>
        <w:t>Im Rahmen des BNetzA-Mahnverfahrens könnten bei Erlass eines förmlichen Bußgeldbescheids durch die BNetzA folgende Rechtsfragen an das EuGH herangetragen werden:</w:t>
      </w:r>
    </w:p>
    <w:p>
      <w:pPr>
        <w:jc w:val="left"/>
      </w:pPr>
      <w:r>
        <w:rPr>
          <w:b/>
        </w:rPr>
        <w:t>Auslegungsfrage 1 — "Ohne unnötige Verzögerung" (Art. 16 Abs. 6 DSA):</w:t>
      </w:r>
    </w:p>
    <w:p>
      <w:pPr>
        <w:jc w:val="left"/>
      </w:pPr>
      <w:r>
        <w:t>Ist der Begriff "ohne unnötige Verzögerung" bei der Notice-and-Action-Bearbeitung so auszulegen, dass eine mediane Bearbeitungszeit von 11,3 Werktagen per se einen Verstoß darstellt, oder sind die Umstände des Einzelfalls (Personalengpass, Inhaltsschwierigkeitsgrad) zu berücksichtigen?</w:t>
      </w:r>
    </w:p>
    <w:p>
      <w:pPr>
        <w:jc w:val="left"/>
      </w:pPr>
      <w:r>
        <w:rPr>
          <w:b/>
        </w:rPr>
        <w:t>Auslegungsfrage 2 — Forschungsdatenzugang (Art. 40 DSA):</w:t>
      </w:r>
    </w:p>
    <w:p>
      <w:pPr>
        <w:jc w:val="left"/>
      </w:pPr>
      <w:r>
        <w:t>In welchem Umfang kann ein VLOP die Bereitstellung von Forschungsdaten unter Berufung auf Geschäftsgeheimnisse (Art. 40 Abs. 4 Satz 3 DSA) und Datenschutz (Art. 40 Abs. 5 DSA) verweigern, und welche Anforderungen stellt das Verhältnismäßigkeitsprinzip an die Prüfung von Alternativassoziationen?</w:t>
      </w:r>
    </w:p>
    <w:p>
      <w:pPr>
        <w:jc w:val="left"/>
      </w:pPr>
      <w:r>
        <w:rPr>
          <w:b/>
        </w:rPr>
        <w:t>Auslegungsfrage 3 — Non-Profiling-Option (Art. 27 DSA):</w:t>
      </w:r>
    </w:p>
    <w:p>
      <w:pPr>
        <w:jc w:val="left"/>
      </w:pPr>
      <w:r>
        <w:t>Gilt die Non-Profiling-Pflicht nach Art. 27 Abs. 1 lit. b DSA mit sofortiger Wirksamkeit ab VLOP-Designation oder besteht eine angemessene Implementierungsfrist?</w:t>
      </w:r>
    </w:p>
    <w:p/>
    <w:p>
      <w:pPr>
        <w:pStyle w:val="Heading2"/>
      </w:pPr>
      <w:r>
        <w:rPr>
          <w:rFonts w:ascii="Times New Roman" w:hAnsi="Times New Roman"/>
        </w:rPr>
        <w:t>3. Strategische Bedeutung der Vorabentscheidungsfragen</w:t>
      </w:r>
    </w:p>
    <w:p>
      <w:pPr>
        <w:pStyle w:val="Heading3"/>
      </w:pPr>
      <w:r>
        <w:rPr>
          <w:rFonts w:ascii="Times New Roman" w:hAnsi="Times New Roman"/>
        </w:rPr>
        <w:t>3.1 Zeitpunkt</w:t>
      </w:r>
    </w:p>
    <w:p>
      <w:pPr>
        <w:jc w:val="left"/>
      </w:pPr>
      <w:r>
        <w:t>Ein Vorabentscheidungsverfahren dauert im Durchschnitt 16-18 Monate. Für das BNetzA-Mahnverfahren ist dieses Instrument erst relevant, wenn:</w:t>
      </w:r>
    </w:p>
    <w:p>
      <w:pPr>
        <w:pStyle w:val="ListBullet"/>
      </w:pPr>
      <w:r>
        <w:t>Ein förmlicher Bußgeldbescheid erlassen wird</w:t>
      </w:r>
    </w:p>
    <w:p>
      <w:pPr>
        <w:pStyle w:val="ListBullet"/>
      </w:pPr>
      <w:r>
        <w:t>Dagegen vor dem VG Köln oder einem anderen zuständigen nationalen Gericht Klage erhoben wird</w:t>
      </w:r>
    </w:p>
    <w:p>
      <w:pPr>
        <w:pStyle w:val="ListBullet"/>
      </w:pPr>
      <w:r>
        <w:t>Das Gericht die Rechtsfrage dem EuGH vorlegt oder die Partei eine Vorlage anregt</w:t>
      </w:r>
    </w:p>
    <w:p>
      <w:pPr>
        <w:pStyle w:val="Heading3"/>
      </w:pPr>
      <w:r>
        <w:rPr>
          <w:rFonts w:ascii="Times New Roman" w:hAnsi="Times New Roman"/>
        </w:rPr>
        <w:t>3.2 Verfahrensstrategie</w:t>
      </w:r>
    </w:p>
    <w:p>
      <w:pPr>
        <w:jc w:val="left"/>
      </w:pPr>
      <w:r>
        <w:t>Die Kanzlei empfiehlt, im Klageverfahren gegen einen etwaigen Bußgeldbescheid der BNetzA vorsorglich Vorlagevoraussetzungen zu schaffen:</w:t>
      </w:r>
    </w:p>
    <w:p>
      <w:pPr>
        <w:pStyle w:val="ListNumber"/>
      </w:pPr>
      <w:r>
        <w:t>Im Klageschriftsatz explizit auf die unklaren DSA-Auslegungsfragen hinweisen.</w:t>
      </w:r>
    </w:p>
    <w:p>
      <w:pPr>
        <w:pStyle w:val="ListNumber"/>
      </w:pPr>
      <w:r>
        <w:t>Anregen, dass das VG Köln eine Vorabentscheidung nach Art. 267 AEUV einholt.</w:t>
      </w:r>
    </w:p>
    <w:p>
      <w:pPr>
        <w:pStyle w:val="ListNumber"/>
      </w:pPr>
      <w:r>
        <w:t>Parallele Einschaltung der Leclercq &amp; Moreau SCRL (Brüssel) für die EuGH-Verfahrensbegleitung.</w:t>
      </w:r>
    </w:p>
    <w:p/>
    <w:p>
      <w:pPr>
        <w:pStyle w:val="Heading2"/>
      </w:pPr>
      <w:r>
        <w:rPr>
          <w:rFonts w:ascii="Times New Roman" w:hAnsi="Times New Roman"/>
        </w:rPr>
        <w:t>4. EuGH-Nichtigkeitsklage gegen Designationsbeschluss (Art. 263 AEUV)</w:t>
      </w:r>
    </w:p>
    <w:p>
      <w:pPr>
        <w:pStyle w:val="Heading3"/>
      </w:pPr>
      <w:r>
        <w:rPr>
          <w:rFonts w:ascii="Times New Roman" w:hAnsi="Times New Roman"/>
        </w:rPr>
        <w:t>4.1 Klageoption VLOP-Designation</w:t>
      </w:r>
    </w:p>
    <w:p>
      <w:pPr>
        <w:jc w:val="left"/>
      </w:pPr>
      <w:r>
        <w:t xml:space="preserve">Frist: </w:t>
      </w:r>
      <w:r>
        <w:rPr>
          <w:b/>
        </w:rPr>
        <w:t>14. Mai 2026</w:t>
      </w:r>
      <w:r>
        <w:t xml:space="preserve"> (zwei Monate ab Beschlusszustellung, Art. 263 Abs. 6 AEUV).</w:t>
      </w:r>
    </w:p>
    <w:p>
      <w:pPr>
        <w:jc w:val="left"/>
      </w:pPr>
      <w:r>
        <w:t>Erfolgsaussichten: Gering (51 Mio. &gt; 45 Mio.; quantitative Schwelle eindeutig überschritten).</w:t>
      </w:r>
    </w:p>
    <w:p>
      <w:pPr>
        <w:jc w:val="left"/>
      </w:pPr>
      <w:r>
        <w:rPr>
          <w:b/>
        </w:rPr>
        <w:t>Empfehlung:</w:t>
      </w:r>
      <w:r>
        <w:t xml:space="preserve"> Klage nicht einlegen. Frist vorsorglich notiert.</w:t>
      </w:r>
    </w:p>
    <w:p>
      <w:pPr>
        <w:pStyle w:val="Heading3"/>
      </w:pPr>
      <w:r>
        <w:rPr>
          <w:rFonts w:ascii="Times New Roman" w:hAnsi="Times New Roman"/>
        </w:rPr>
        <w:t>4.2 Klageoption Bußgeldbescheid</w:t>
      </w:r>
    </w:p>
    <w:p>
      <w:pPr>
        <w:jc w:val="left"/>
      </w:pPr>
      <w:r>
        <w:t>Sollte die Kommission nach Art. 74 DSA einen Bußgeldbescheid erlassen, ist eine Nichtigkeitsklage vor dem EuG nach Art. 263 AEUV möglich. Das EuG hat in solchen Fällen volle Kognition über Sach- und Rechtsfragen sowie eine Befugnis zur Neufestsetzung des Bußgelds (Art. 261 AEUV).</w:t>
      </w:r>
    </w:p>
    <w:p/>
    <w:p>
      <w:pPr>
        <w:pStyle w:val="Heading2"/>
      </w:pPr>
      <w:r>
        <w:rPr>
          <w:rFonts w:ascii="Times New Roman" w:hAnsi="Times New Roman"/>
        </w:rPr>
        <w:t>5. Verwaltungsklage gegen BNetzA-Bescheide</w:t>
      </w:r>
    </w:p>
    <w:p>
      <w:pPr>
        <w:jc w:val="left"/>
      </w:pPr>
      <w:r>
        <w:t>Gegen förmliche Maßnahmen der BNetzA als DSC (Bußgeldbescheide, Abstellungsverfügungen) ist der Verwaltungsrechtsweg gegeben. Zuständig ist das Verwaltungsgericht Köln (§ 52 Nr. 2 VwGO i.V.m. § 20 Abs. 1 S. 2 DDG). Berufung: OVG Münster; Revision: BVerwG.</w:t>
      </w:r>
    </w:p>
    <w:p/>
    <w:p>
      <w:pPr>
        <w:pStyle w:val="Heading2"/>
      </w:pPr>
      <w:r>
        <w:rPr>
          <w:rFonts w:ascii="Times New Roman" w:hAnsi="Times New Roman"/>
        </w:rPr>
        <w:t>6. Entwurf EuGH-Klage</w:t>
      </w:r>
    </w:p>
    <w:p>
      <w:pPr>
        <w:jc w:val="left"/>
      </w:pPr>
      <w:r>
        <w:t xml:space="preserve">Entwurf einer Klageschrift für eine potenzielle Klage gegen den Designationsbeschluss (vorsorglich): vgl. DOCX </w:t>
      </w:r>
      <w:r>
        <w:t>docx/klage_eugh_designation_vlop.docx</w:t>
      </w:r>
      <w:r>
        <w:t>.</w:t>
      </w:r>
    </w:p>
    <w:p/>
    <w:p>
      <w:pPr>
        <w:pStyle w:val="Heading2"/>
      </w:pPr>
      <w:r>
        <w:rPr>
          <w:rFonts w:ascii="Times New Roman" w:hAnsi="Times New Roman"/>
        </w:rPr>
        <w:t>7. Rechtsgrundlagen</w:t>
      </w:r>
    </w:p>
    <w:p>
      <w:pPr>
        <w:pStyle w:val="ListBullet"/>
      </w:pPr>
      <w:r>
        <w:t>Art. 263, 267 AEUV — Nichtigkeitsklage und Vorabentscheidung</w:t>
      </w:r>
    </w:p>
    <w:p>
      <w:pPr>
        <w:pStyle w:val="ListBullet"/>
      </w:pPr>
      <w:r>
        <w:t>Art. 261 AEUV — Volle Kognition EuG bei Bußgeldsachen</w:t>
      </w:r>
    </w:p>
    <w:p>
      <w:pPr>
        <w:pStyle w:val="ListBullet"/>
      </w:pPr>
      <w:r>
        <w:t>§ 52 Nr. 2 VwGO — Zuständigkeit VG Köln</w:t>
      </w:r>
    </w:p>
    <w:p>
      <w:pPr>
        <w:pStyle w:val="ListBullet"/>
      </w:pPr>
      <w:r>
        <w:t>§ 20 DDG — Nationales Verfahrensrecht DSA</w:t>
      </w:r>
    </w:p>
    <w:p>
      <w:pPr>
        <w:jc w:val="left"/>
      </w:pPr>
      <w:r>
        <w:rPr>
          <w:b/>
        </w:rPr>
        <w:t>Quellen:</w:t>
      </w:r>
    </w:p>
    <w:p>
      <w:pPr>
        <w:pStyle w:val="ListBullet"/>
      </w:pPr>
      <w:r>
        <w:t>AEUV, EUR-Lex: https://eur-lex.europa.eu/legal-content/DE/TXT/?uri=CELEX%3A12012E/TXT</w:t>
      </w:r>
    </w:p>
    <w:p>
      <w:pPr>
        <w:pStyle w:val="ListBullet"/>
      </w:pPr>
      <w:r>
        <w:t>Verordnung (EU) 2022/2065 (DSA), EUR-Lex: https://eur-lex.europa.eu/legal-content/DE/TXT/?uri=CELEX%3A32022R2065</w:t>
      </w:r>
    </w:p>
    <w:p>
      <w:pPr>
        <w:pStyle w:val="ListBullet"/>
      </w:pPr>
      <w:r>
        <w:t>§ 52 VwGO, dejure.org: https://dejure.org/gesetze/VwGO/52.html</w:t>
      </w:r>
    </w:p>
    <w:p/>
    <w:p>
      <w:pPr>
        <w:jc w:val="left"/>
      </w:pPr>
      <w:r>
        <w:rPr>
          <w:i/>
        </w:rPr>
        <w:t>Bearbeiterin: RAin Dr. Philippa Groth-Steinberg</w:t>
      </w:r>
    </w:p>
    <w:p>
      <w:pPr>
        <w:jc w:val="left"/>
      </w:pPr>
      <w:r>
        <w:rPr>
          <w:i/>
        </w:rPr>
        <w:t>Stand: 18. April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Körnerstrom Social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Körnerstrom Social GmbH</w:t>
    </w:r>
  </w:p>
  <w:p>
    <w:pPr>
      <w:jc w:val="left"/>
      <w:pBdr>
        <w:bottom w:val="single" w:sz="6" w:space="2" w:color="11555F"/>
      </w:pBdr>
    </w:pPr>
    <w:r>
      <w:rPr>
        <w:rFonts w:ascii="Times New Roman" w:hAnsi="Times New Roman"/>
        <w:color w:val="6B6B66"/>
        <w:sz w:val="16"/>
      </w:rPr>
      <w:t>Unternehmen · Az. Kanzlei: KRS-2026-0318-DSA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