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Mandatsuebernahme und Vollmacht</w:t>
      </w:r>
    </w:p>
    <w:p>
      <w:pPr>
        <w:jc w:val="left"/>
      </w:pPr>
      <w:r>
        <w:rPr>
          <w:b/>
        </w:rPr>
        <w:t>Aktenzeichen:</w:t>
      </w:r>
      <w:r>
        <w:t xml:space="preserve"> DSB-NW-44/26 / 18 Mass 4/26 / 4 O 244/26 / 12 Js 11.422/26</w:t>
      </w:r>
    </w:p>
    <w:p>
      <w:pPr>
        <w:jc w:val="left"/>
      </w:pPr>
      <w:r>
        <w:rPr>
          <w:b/>
        </w:rPr>
        <w:t>Mandantin:</w:t>
      </w:r>
      <w:r>
        <w:t xml:space="preserve"> VermieterCheck Solutions GmbH, Ruhrallee 188, 45136 Essen</w:t>
      </w:r>
    </w:p>
    <w:p>
      <w:pPr>
        <w:jc w:val="left"/>
      </w:pPr>
      <w:r>
        <w:rPr>
          <w:b/>
        </w:rPr>
        <w:t>Kanzlei:</w:t>
      </w:r>
      <w:r>
        <w:t xml:space="preserve"> Specht, Beckenbauer &amp; Drosselberg Rechtsanwaltsgesellschaft mbH, Königsallee 92c, 40212 Düsseldorf</w:t>
      </w:r>
    </w:p>
    <w:p>
      <w:pPr>
        <w:jc w:val="left"/>
      </w:pPr>
      <w:r>
        <w:rPr>
          <w:b/>
        </w:rPr>
        <w:t>Federführender Anwalt:</w:t>
      </w:r>
      <w:r>
        <w:t xml:space="preserve"> RA Dr. Cornelius Specht (Fachanwalt Datenschutzrecht)</w:t>
      </w:r>
    </w:p>
    <w:p>
      <w:pPr>
        <w:jc w:val="left"/>
      </w:pPr>
      <w:r>
        <w:rPr>
          <w:b/>
        </w:rPr>
        <w:t>Datum:</w:t>
      </w:r>
      <w:r>
        <w:t xml:space="preserve"> 14. Januar 2026</w:t>
      </w:r>
    </w:p>
    <w:p/>
    <w:p>
      <w:pPr>
        <w:pStyle w:val="Heading2"/>
      </w:pPr>
      <w:r>
        <w:rPr>
          <w:rFonts w:ascii="Times New Roman" w:hAnsi="Times New Roman"/>
        </w:rPr>
        <w:t>1. Mandatsbeschreibung</w:t>
      </w:r>
    </w:p>
    <w:p>
      <w:pPr>
        <w:jc w:val="left"/>
      </w:pPr>
      <w:r>
        <w:t>Die Kanzlei Specht, Beckenbauer &amp; Drosselberg (nachfolgend „SBD") übernimmt die umfassende rechtliche Vertretung der VermieterCheck Solutions GmbH (nachfolgend „Mandantin") in sämtlichen daten­schutz­rechtlichen, ordnungswidrigkeitsrechtlichen und strafrechtlichen Verfahren, die aus dem Betrieb der SaaS-Plattform und des KI-Profiling-Moduls „ProspectScore Pro" erwachsen.</w:t>
      </w:r>
    </w:p>
    <w:p>
      <w:pPr>
        <w:pStyle w:val="Heading3"/>
      </w:pPr>
      <w:r>
        <w:rPr>
          <w:rFonts w:ascii="Times New Roman" w:hAnsi="Times New Roman"/>
        </w:rPr>
        <w:t>1.1 Mandatsumfang</w:t>
      </w:r>
    </w:p>
    <w:p>
      <w:pPr>
        <w:jc w:val="left"/>
      </w:pPr>
      <w:r>
        <w:t>Das Mandat erstreckt sich auf folgende Verfahrens- und Beratungskomplexe: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Aufsichtsverfahren LDI NRW (Art. 58 DSGVO), AZ DSB-NW-44/26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Massenverfahren VDuG, LG Essen 18 Mass 4/26 (8.200 Betroffene)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Einzelklage Dr. Tannenbruck, LG Essen 4 O 244/26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Strafverfahren § 42 BDSG, StA Essen 12 Js 11.422/26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Drittlandsuebermittlung Sundara Tech (Art. 44 ff. DSGVO)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DSFA-Nachholung (Art. 35 DSGVO)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Datenpanne CVE-2026-0188 / Art. 33 DSGVO Meldung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M-8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Auskunftsersuchen Drostermann, Kaltenbach (Art. 15 DSGVO)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Beratend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Interessenkollisionsprüfung</w:t>
      </w:r>
    </w:p>
    <w:p>
      <w:pPr>
        <w:jc w:val="left"/>
      </w:pPr>
      <w:r>
        <w:t>Gemäß § 43a Abs. 4 BRAO sowie § 3 BORA wurde eine Konfliktkontrolle durchgeführt. Keine Interessenkollision festgestellt. Die Kanzlei SBD vertritt keine Parteien, die im vorliegenden Verfahrenskomplex als Anspruchsgegner oder Anzeigeerstatter auftreten.</w:t>
      </w:r>
    </w:p>
    <w:p/>
    <w:p>
      <w:pPr>
        <w:pStyle w:val="Heading2"/>
      </w:pPr>
      <w:r>
        <w:rPr>
          <w:rFonts w:ascii="Times New Roman" w:hAnsi="Times New Roman"/>
        </w:rPr>
        <w:t>2. Vollmacht</w:t>
      </w:r>
    </w:p>
    <w:p>
      <w:pPr>
        <w:pStyle w:val="Heading3"/>
      </w:pPr>
      <w:r>
        <w:rPr>
          <w:rFonts w:ascii="Times New Roman" w:hAnsi="Times New Roman"/>
        </w:rPr>
        <w:t>2.1 Prozessvollmacht (§ 80 ZPO)</w:t>
      </w:r>
    </w:p>
    <w:p>
      <w:pPr>
        <w:jc w:val="left"/>
      </w:pPr>
      <w:r>
        <w:t>Die Mandantin, vertreten durch Geschäftsführer Karl-Heinz Schimmelpfennig-Drosthager, erteilt hiermit der Kanzlei Specht, Beckenbauer &amp; Drosselberg Rechtsanwaltsgesellschaft mbH — sowie sämtlichen dort tätigen Rechtsanwälten und Rechtsanwältinnen — unwiderrufliche Prozessvollmacht mit dem Recht zur Unterbevollmächtigung gemäß § 80 ZPO für alle anhangigen und künftig entstehenden Verfahren im Zusammenhang mit dem vorliegenden Mandat.</w:t>
      </w:r>
    </w:p>
    <w:p>
      <w:pPr>
        <w:jc w:val="left"/>
      </w:pPr>
      <w:r>
        <w:t>Die Vollmacht umfasst insbesondere:</w:t>
      </w:r>
    </w:p>
    <w:p>
      <w:pPr>
        <w:pStyle w:val="ListBullet"/>
      </w:pPr>
      <w:r>
        <w:t>Entgegennahme und Abgabe sämtlicher Erklärungen gegenüber Behörden, Gerichten und Dritten</w:t>
      </w:r>
    </w:p>
    <w:p>
      <w:pPr>
        <w:pStyle w:val="ListBullet"/>
      </w:pPr>
      <w:r>
        <w:t>Abschluss von Vergleichen und Abgabe von Verzichtserklärungen</w:t>
      </w:r>
    </w:p>
    <w:p>
      <w:pPr>
        <w:pStyle w:val="ListBullet"/>
      </w:pPr>
      <w:r>
        <w:t>Einlegung und Rücknahme von Rechtsmitteln</w:t>
      </w:r>
    </w:p>
    <w:p>
      <w:pPr>
        <w:pStyle w:val="ListBullet"/>
      </w:pPr>
      <w:r>
        <w:t>Erhebung von Klagen, Einreichung von Schriftsaetzen</w:t>
      </w:r>
    </w:p>
    <w:p>
      <w:pPr>
        <w:pStyle w:val="ListBullet"/>
      </w:pPr>
      <w:r>
        <w:t>Beantragung einstweiliger Rechtsschutzanordnungen</w:t>
      </w:r>
    </w:p>
    <w:p>
      <w:pPr>
        <w:pStyle w:val="ListBullet"/>
      </w:pPr>
      <w:r>
        <w:t>Entgegennahme von Zustellungen (§ 172 ZPO)</w:t>
      </w:r>
    </w:p>
    <w:p>
      <w:pPr>
        <w:pStyle w:val="Heading3"/>
      </w:pPr>
      <w:r>
        <w:rPr>
          <w:rFonts w:ascii="Times New Roman" w:hAnsi="Times New Roman"/>
        </w:rPr>
        <w:t>2.2 Verwaltungsrechtliche Vollmacht</w:t>
      </w:r>
    </w:p>
    <w:p>
      <w:pPr>
        <w:jc w:val="left"/>
      </w:pPr>
      <w:r>
        <w:t>Für das Aufsichtsverfahren vor der LDI NRW (AZ DSB-NW-44/26) wird gesondert Vollmacht gemäß § 14 VwVfG NRW erteilt. Die Vollmacht berechtigt zur Akteneinsicht nach § 29 VwVfG NRW, zur Abgabe von Stellungnahmen gemäß Art. 58 Abs. 1 DSGVO sowie zur Erhebung von Rechtsmitteln gegen behordliche Anordnungen.</w:t>
      </w:r>
    </w:p>
    <w:p>
      <w:pPr>
        <w:pStyle w:val="Heading3"/>
      </w:pPr>
      <w:r>
        <w:rPr>
          <w:rFonts w:ascii="Times New Roman" w:hAnsi="Times New Roman"/>
        </w:rPr>
        <w:t>2.3 Strafprozessuale Vollmacht</w:t>
      </w:r>
    </w:p>
    <w:p>
      <w:pPr>
        <w:jc w:val="left"/>
      </w:pPr>
      <w:r>
        <w:t>Im Strafverfahren StA Essen 12 Js 11.422/26 wird Wahlverteidigervollmacht gemäß § 137 StPO erteilt. RA Dr. Cornelius Specht ist als Pflichtverteidiger bevollmächtigt, sämtliche Verfahrenshandlungen im Namen des Beschuldigten Karl-Heinz Schimmelpfennig-Drosthager vorzunehmen.</w:t>
      </w:r>
    </w:p>
    <w:p/>
    <w:p>
      <w:pPr>
        <w:pStyle w:val="Heading2"/>
      </w:pPr>
      <w:r>
        <w:rPr>
          <w:rFonts w:ascii="Times New Roman" w:hAnsi="Times New Roman"/>
        </w:rPr>
        <w:t>3. Retainer und Honorarvereinbarung</w:t>
      </w:r>
    </w:p>
    <w:p>
      <w:pPr>
        <w:jc w:val="left"/>
      </w:pPr>
      <w:r>
        <w:t>Die Parteien haben folgende Honorarvereinbarung getroffen:</w:t>
      </w:r>
    </w:p>
    <w:p>
      <w:pPr>
        <w:pStyle w:val="ListBullet"/>
      </w:pPr>
      <w:r>
        <w:rPr>
          <w:b/>
        </w:rPr>
        <w:t>Beratungsmandat (M-5 bis M-8):</w:t>
      </w:r>
      <w:r>
        <w:t xml:space="preserve"> Stundenhonorar RA Dr. Specht 380 EUR/h netto; Paralegal 120 EUR/h netto</w:t>
      </w:r>
    </w:p>
    <w:p>
      <w:pPr>
        <w:pStyle w:val="ListBullet"/>
      </w:pPr>
      <w:r>
        <w:rPr>
          <w:b/>
        </w:rPr>
        <w:t>Prozessmandate (M-1 bis M-4):</w:t>
      </w:r>
      <w:r>
        <w:t xml:space="preserve"> Pauschalhonorar-Retainer zzgl. Erfolgsbeteiligung nach BORA-konformer Vereinbarung</w:t>
      </w:r>
    </w:p>
    <w:p>
      <w:pPr>
        <w:pStyle w:val="ListBullet"/>
      </w:pPr>
      <w:r>
        <w:rPr>
          <w:b/>
        </w:rPr>
        <w:t>Auslagen:</w:t>
      </w:r>
      <w:r>
        <w:t xml:space="preserve"> Reisekosten, Gerichtsgebühren, Gutachterkosten nach Aufwand</w:t>
      </w:r>
    </w:p>
    <w:p>
      <w:pPr>
        <w:jc w:val="left"/>
      </w:pPr>
      <w:r>
        <w:t>Die Mandantin hat einen Kostenvorschuss von 85.000 EUR netto zzgl. USt. geleistet (Buchungsdatum 14.01.2026).</w:t>
      </w:r>
    </w:p>
    <w:p/>
    <w:p>
      <w:pPr>
        <w:pStyle w:val="Heading2"/>
      </w:pPr>
      <w:r>
        <w:rPr>
          <w:rFonts w:ascii="Times New Roman" w:hAnsi="Times New Roman"/>
        </w:rPr>
        <w:t>4. Erstinstruktionen</w:t>
      </w:r>
    </w:p>
    <w:p>
      <w:pPr>
        <w:pStyle w:val="Heading3"/>
      </w:pPr>
      <w:r>
        <w:rPr>
          <w:rFonts w:ascii="Times New Roman" w:hAnsi="Times New Roman"/>
        </w:rPr>
        <w:t>4.1 Sofortmassnahmen</w:t>
      </w:r>
    </w:p>
    <w:p>
      <w:pPr>
        <w:jc w:val="left"/>
      </w:pPr>
      <w:r>
        <w:t>RA Dr. Specht hat folgende Sofortmassnahmen angeordnet:</w:t>
      </w:r>
    </w:p>
    <w:p>
      <w:pPr>
        <w:pStyle w:val="ListNumber"/>
      </w:pPr>
      <w:r>
        <w:rPr>
          <w:b/>
        </w:rPr>
        <w:t>Einfrieren der Datenverarbeitung</w:t>
      </w:r>
      <w:r>
        <w:t xml:space="preserve"> im ProspectScore-Pro-Modul bis zur Klärung der Rechtsgrundlagen (Art. 6 Abs. 1 DSGVO-Konformitätsprüfung)</w:t>
      </w:r>
    </w:p>
    <w:p>
      <w:pPr>
        <w:pStyle w:val="ListNumber"/>
      </w:pPr>
      <w:r>
        <w:rPr>
          <w:b/>
        </w:rPr>
        <w:t>Preservation Hold</w:t>
      </w:r>
      <w:r>
        <w:t xml:space="preserve"> sämtlicher Protokolldaten, Log-Files und Datenbankdumps (Sicherung für Beweiszwecke)</w:t>
      </w:r>
    </w:p>
    <w:p>
      <w:pPr>
        <w:pStyle w:val="ListNumber"/>
      </w:pPr>
      <w:r>
        <w:rPr>
          <w:b/>
        </w:rPr>
        <w:t>Kommunikationsstop</w:t>
      </w:r>
      <w:r>
        <w:t xml:space="preserve"> — keine direkten Gespräche der Mandantin mit LDI NRW ohne anwaltliche Begleitung</w:t>
      </w:r>
    </w:p>
    <w:p>
      <w:pPr>
        <w:pStyle w:val="ListNumber"/>
      </w:pPr>
      <w:r>
        <w:rPr>
          <w:b/>
        </w:rPr>
        <w:t>Incident Response</w:t>
      </w:r>
      <w:r>
        <w:t xml:space="preserve"> — Beauftragung externer Forensik (SecureProof GmbH, Bochum) zur Analyse CVE-2026-0188</w:t>
      </w:r>
    </w:p>
    <w:p>
      <w:pPr>
        <w:pStyle w:val="ListNumber"/>
      </w:pPr>
      <w:r>
        <w:rPr>
          <w:b/>
        </w:rPr>
        <w:t>HinSchG-Meldekanal</w:t>
      </w:r>
      <w:r>
        <w:t xml:space="preserve"> — Interne Meldestelle per sofort aktivieren und dokumentieren</w:t>
      </w:r>
    </w:p>
    <w:p>
      <w:pPr>
        <w:pStyle w:val="Heading3"/>
      </w:pPr>
      <w:r>
        <w:rPr>
          <w:rFonts w:ascii="Times New Roman" w:hAnsi="Times New Roman"/>
        </w:rPr>
        <w:t>4.2 Fristenkalender (initial)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LDI NRW Art. 58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DSB-NW-44/26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VDuG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 Mass 4/26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Auskunft Art. 15 Tannenbruck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 O 244/26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Einlassung StA Essen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Js 11.422/26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DSFA-Entwurf intern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 M-6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Rechtliche Ersteinschätzung</w:t>
      </w:r>
    </w:p>
    <w:p>
      <w:pPr>
        <w:jc w:val="left"/>
      </w:pPr>
      <w:r>
        <w:t xml:space="preserve">Die Gesamtlage der Mandantin ist als </w:t>
      </w:r>
      <w:r>
        <w:rPr>
          <w:b/>
        </w:rPr>
        <w:t>kritisch</w:t>
      </w:r>
      <w:r>
        <w:t xml:space="preserve"> einzustufen. Folgende Risikopositionen bestehen kumulativ:</w:t>
      </w:r>
    </w:p>
    <w:p>
      <w:pPr>
        <w:pStyle w:val="ListNumber"/>
      </w:pPr>
      <w:r>
        <w:rPr>
          <w:b/>
        </w:rPr>
        <w:t>Bussgeldrisko LDI NRW</w:t>
      </w:r>
      <w:r>
        <w:t xml:space="preserve"> — Bei Feststellung eines schwerwiegenden Verstosses gegen Art. 6, Art. 22 und Art. 35 DSGVO droht ein Bussgeld bis 20.000.000 EUR oder 4% des weltweiten Jahresumsatzes (Art. 83 Abs. 5 DSGVO). Bei einem geschätzten Jahresumsatz von ca. 4 Mio. EUR liegt die 4%-Grenze bei 160.000 EUR; massgeblich ist der höhere Betrag, mithin 20 Mio. EUR.</w:t>
      </w:r>
    </w:p>
    <w:p>
      <w:pPr>
        <w:pStyle w:val="ListNumber"/>
      </w:pPr>
      <w:r>
        <w:rPr>
          <w:b/>
        </w:rPr>
        <w:t>Haftungsrisiko Sammelklage</w:t>
      </w:r>
      <w:r>
        <w:t xml:space="preserve"> — 8.200 Betroffene x 1.500 EUR = 12.300.000 EUR (Gesamtforderung). Nach BGH VI ZR 10/24 kann auch bei fehlender konkreter Schadensbeschreibung immaterieller Schaden geltend gemacht werden, sofern ein kontrollierter Datenverlust nachgewiesen ist.</w:t>
      </w:r>
    </w:p>
    <w:p>
      <w:pPr>
        <w:pStyle w:val="ListNumber"/>
      </w:pPr>
      <w:r>
        <w:rPr>
          <w:b/>
        </w:rPr>
        <w:t>Strafbarkeitsrisiko § 42 BDSG</w:t>
      </w:r>
      <w:r>
        <w:t xml:space="preserve"> — Freiheitsstrafe bis 3 Jahre oder Geldstrafe; Beschuldigter ist GF Schimmelpfennig-Drosthager persönlich.</w:t>
      </w:r>
    </w:p>
    <w:p>
      <w:pPr>
        <w:jc w:val="left"/>
      </w:pPr>
      <w:r>
        <w:t>Die Kanzlei SBD empfiehlt eine umfassende Compliance-Offensive (DSFA-Nachholung, AVV-Sanierung, Meldung der Datenpanne) zur Strafmilderung im Bussgeldbescheid-Verfahren (Art. 83 Abs. 2 lit. f DSGVO: Kooperationsbereitschaft als Milderungsgrund).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6, 22, 33, 35, 44, 58, 83 — dejure.org/gesetze/DSGVO</w:t>
      </w:r>
    </w:p>
    <w:p>
      <w:pPr>
        <w:pStyle w:val="ListBullet"/>
      </w:pPr>
      <w:r>
        <w:t>BDSG § 42 — dejure.org/gesetze/BDSG</w:t>
      </w:r>
    </w:p>
    <w:p>
      <w:pPr>
        <w:pStyle w:val="ListBullet"/>
      </w:pPr>
      <w:r>
        <w:t>BRAO § 43a Abs. 4 — dejure.org/gesetze/BRAO</w:t>
      </w:r>
    </w:p>
    <w:p>
      <w:pPr>
        <w:pStyle w:val="ListBullet"/>
      </w:pPr>
      <w:r>
        <w:t>ZPO § 80, § 172 — dejure.org/gesetze/ZPO</w:t>
      </w:r>
    </w:p>
    <w:p>
      <w:pPr>
        <w:pStyle w:val="ListBullet"/>
      </w:pPr>
      <w:r>
        <w:t>BGH, Urt. v. 18.11.2024 — VI ZR 10/24 — bundesgerichtshof.de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VermieterCheck Solutions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VermieterCheck Solutions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Ruhrallee 188, 45136 Essen · Aktenzeichen: DSB-NW-44/26 / 18 Mass 4/26 / 4 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