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 Technisch-Organisatorische Massnahmen (TOM) nach Art. 32 DSGVO</w:t>
      </w:r>
    </w:p>
    <w:p>
      <w:pPr>
        <w:jc w:val="left"/>
      </w:pPr>
      <w:r>
        <w:rPr>
          <w:b/>
        </w:rPr>
        <w:t>Aktenzeichen:</w:t>
      </w:r>
      <w:r>
        <w:t xml:space="preserve"> DSB-NW-44/26</w:t>
      </w:r>
    </w:p>
    <w:p>
      <w:pPr>
        <w:jc w:val="left"/>
      </w:pPr>
      <w:r>
        <w:rPr>
          <w:b/>
        </w:rPr>
        <w:t>Bearbeiter:</w:t>
      </w:r>
      <w:r>
        <w:t xml:space="preserve"> RAin Miriam Beckenbauer, externer IT-Sicherheitsberater SecureProof GmbH</w:t>
      </w:r>
    </w:p>
    <w:p>
      <w:pPr>
        <w:jc w:val="left"/>
      </w:pPr>
      <w:r>
        <w:rPr>
          <w:b/>
        </w:rPr>
        <w:t>Datum:</w:t>
      </w:r>
      <w:r>
        <w:t xml:space="preserve"> 30. Januar 2026</w:t>
      </w:r>
    </w:p>
    <w:p>
      <w:pPr>
        <w:jc w:val="left"/>
      </w:pPr>
      <w:r>
        <w:rPr>
          <w:b/>
        </w:rPr>
        <w:t>Betreff:</w:t>
      </w:r>
      <w:r>
        <w:t xml:space="preserve"> Bewertung und Sanierung der TOM bei VermieterCheck Solutions GmbH</w:t>
      </w:r>
    </w:p>
    <w:p/>
    <w:p>
      <w:pPr>
        <w:pStyle w:val="Heading2"/>
      </w:pPr>
      <w:r>
        <w:rPr>
          <w:rFonts w:ascii="Times New Roman" w:hAnsi="Times New Roman"/>
        </w:rPr>
        <w:t>1. Rechtsrahmen Art. 32 DSGVO</w:t>
      </w:r>
    </w:p>
    <w:p>
      <w:pPr>
        <w:jc w:val="left"/>
      </w:pPr>
      <w:r>
        <w:t>Art. 32 Abs. 1 DSGVO verpflichtet den Verantwortlichen und den Auftragsverarbeiter, unter Berücksichtigung des Stands der Technik, der Implementierungskosten und der Art, des Umfangs, der Umstände und der Zwecke der Verarbeitung sowie der unterschiedlichen Eintrittswahrscheinlichkeit und Schwere des Risikos geeignete technische und organisatorische Massnahmen zu treffen.</w:t>
      </w:r>
    </w:p>
    <w:p>
      <w:pPr>
        <w:jc w:val="left"/>
      </w:pPr>
      <w:r>
        <w:rPr>
          <w:b/>
        </w:rPr>
        <w:t>Regelbeispiele Art. 32 Abs. 1 DSGVO:</w:t>
      </w:r>
    </w:p>
    <w:p>
      <w:pPr>
        <w:pStyle w:val="ListBullet"/>
      </w:pPr>
      <w:r>
        <w:t>lit. a: Pseudonymisierung und Verschlüsselung</w:t>
      </w:r>
    </w:p>
    <w:p>
      <w:pPr>
        <w:pStyle w:val="ListBullet"/>
      </w:pPr>
      <w:r>
        <w:t>lit. b: Gewährleistung von Vertraulichkeit, Integrität, Verfügbarkeit und Belastbarkeit</w:t>
      </w:r>
    </w:p>
    <w:p>
      <w:pPr>
        <w:pStyle w:val="ListBullet"/>
      </w:pPr>
      <w:r>
        <w:t>lit. c: Fähigkeit zur raschen Wiederherstellung nach Zwischenfällen</w:t>
      </w:r>
    </w:p>
    <w:p>
      <w:pPr>
        <w:pStyle w:val="ListBullet"/>
      </w:pPr>
      <w:r>
        <w:t>lit. d: Regelmäßige Überprüfung, Bewertung und Evaluierung der Wirksamkeit</w:t>
      </w:r>
    </w:p>
    <w:p/>
    <w:p>
      <w:pPr>
        <w:pStyle w:val="Heading2"/>
      </w:pPr>
      <w:r>
        <w:rPr>
          <w:rFonts w:ascii="Times New Roman" w:hAnsi="Times New Roman"/>
        </w:rPr>
        <w:t>2. Ist-Analyse der TOM bei VCS (Stand Oktober 2025)</w:t>
      </w:r>
    </w:p>
    <w:p>
      <w:pPr>
        <w:pStyle w:val="Heading3"/>
      </w:pPr>
      <w:r>
        <w:rPr>
          <w:rFonts w:ascii="Times New Roman" w:hAnsi="Times New Roman"/>
        </w:rPr>
        <w:t>2.1 Infrastruktur-Sicherheit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TOM-Bereich</w:t>
            </w:r>
          </w:p>
        </w:tc>
        <w:tc>
          <w:tcPr>
            <w:tcW w:type="dxa" w:w="3024"/>
          </w:tcPr>
          <w:p>
            <w:r>
              <w:rPr>
                <w:rFonts w:ascii="Times New Roman" w:hAnsi="Times New Roman"/>
                <w:b/>
                <w:sz w:val="20"/>
              </w:rPr>
              <w:t>Ist-Zustand</w:t>
            </w:r>
          </w:p>
        </w:tc>
        <w:tc>
          <w:tcPr>
            <w:tcW w:type="dxa" w:w="3024"/>
          </w:tcPr>
          <w:p>
            <w:r>
              <w:rPr>
                <w:rFonts w:ascii="Times New Roman" w:hAnsi="Times New Roman"/>
                <w:b/>
                <w:sz w:val="20"/>
              </w:rPr>
              <w:t>Bewertung</w:t>
            </w:r>
          </w:p>
        </w:tc>
      </w:tr>
      <w:tr>
        <w:tc>
          <w:tcPr>
            <w:tcW w:type="dxa" w:w="3024"/>
          </w:tcPr>
          <w:p>
            <w:r>
              <w:rPr>
                <w:rFonts w:ascii="Times New Roman" w:hAnsi="Times New Roman"/>
                <w:sz w:val="20"/>
              </w:rPr>
              <w:t>Datenverschlüsselung (at rest)</w:t>
            </w:r>
          </w:p>
        </w:tc>
        <w:tc>
          <w:tcPr>
            <w:tcW w:type="dxa" w:w="3024"/>
          </w:tcPr>
          <w:p>
            <w:r>
              <w:rPr>
                <w:rFonts w:ascii="Times New Roman" w:hAnsi="Times New Roman"/>
                <w:sz w:val="20"/>
              </w:rPr>
              <w:t>AWS S3-SSE (AES-256)</w:t>
            </w:r>
          </w:p>
        </w:tc>
        <w:tc>
          <w:tcPr>
            <w:tcW w:type="dxa" w:w="3024"/>
          </w:tcPr>
          <w:p>
            <w:r>
              <w:rPr>
                <w:rFonts w:ascii="Times New Roman" w:hAnsi="Times New Roman"/>
                <w:sz w:val="20"/>
              </w:rPr>
              <w:t>Ausreichend</w:t>
            </w:r>
          </w:p>
        </w:tc>
      </w:tr>
      <w:tr>
        <w:tc>
          <w:tcPr>
            <w:tcW w:type="dxa" w:w="3024"/>
          </w:tcPr>
          <w:p>
            <w:r>
              <w:rPr>
                <w:rFonts w:ascii="Times New Roman" w:hAnsi="Times New Roman"/>
                <w:sz w:val="20"/>
              </w:rPr>
              <w:t>Datenverschlüsselung (in transit)</w:t>
            </w:r>
          </w:p>
        </w:tc>
        <w:tc>
          <w:tcPr>
            <w:tcW w:type="dxa" w:w="3024"/>
          </w:tcPr>
          <w:p>
            <w:r>
              <w:rPr>
                <w:rFonts w:ascii="Times New Roman" w:hAnsi="Times New Roman"/>
                <w:sz w:val="20"/>
              </w:rPr>
              <w:t>TLS 1.2 (veraltet: TLS 1.3 Standard)</w:t>
            </w:r>
          </w:p>
        </w:tc>
        <w:tc>
          <w:tcPr>
            <w:tcW w:type="dxa" w:w="3024"/>
          </w:tcPr>
          <w:p>
            <w:r>
              <w:rPr>
                <w:rFonts w:ascii="Times New Roman" w:hAnsi="Times New Roman"/>
                <w:sz w:val="20"/>
              </w:rPr>
              <w:t>Unzureichend</w:t>
            </w:r>
          </w:p>
        </w:tc>
      </w:tr>
      <w:tr>
        <w:tc>
          <w:tcPr>
            <w:tcW w:type="dxa" w:w="3024"/>
          </w:tcPr>
          <w:p>
            <w:r>
              <w:rPr>
                <w:rFonts w:ascii="Times New Roman" w:hAnsi="Times New Roman"/>
                <w:sz w:val="20"/>
              </w:rPr>
              <w:t>Netzwerk-Segmentierung</w:t>
            </w:r>
          </w:p>
        </w:tc>
        <w:tc>
          <w:tcPr>
            <w:tcW w:type="dxa" w:w="3024"/>
          </w:tcPr>
          <w:p>
            <w:r>
              <w:rPr>
                <w:rFonts w:ascii="Times New Roman" w:hAnsi="Times New Roman"/>
                <w:sz w:val="20"/>
              </w:rPr>
              <w:t>VPC-Subnetz vorhanden, aber Staging = Produktion</w:t>
            </w:r>
          </w:p>
        </w:tc>
        <w:tc>
          <w:tcPr>
            <w:tcW w:type="dxa" w:w="3024"/>
          </w:tcPr>
          <w:p>
            <w:r>
              <w:rPr>
                <w:rFonts w:ascii="Times New Roman" w:hAnsi="Times New Roman"/>
                <w:sz w:val="20"/>
              </w:rPr>
              <w:t>Kritisch unzureichend</w:t>
            </w:r>
          </w:p>
        </w:tc>
      </w:tr>
      <w:tr>
        <w:tc>
          <w:tcPr>
            <w:tcW w:type="dxa" w:w="3024"/>
          </w:tcPr>
          <w:p>
            <w:r>
              <w:rPr>
                <w:rFonts w:ascii="Times New Roman" w:hAnsi="Times New Roman"/>
                <w:sz w:val="20"/>
              </w:rPr>
              <w:t>Zugangskontrolle</w:t>
            </w:r>
          </w:p>
        </w:tc>
        <w:tc>
          <w:tcPr>
            <w:tcW w:type="dxa" w:w="3024"/>
          </w:tcPr>
          <w:p>
            <w:r>
              <w:rPr>
                <w:rFonts w:ascii="Times New Roman" w:hAnsi="Times New Roman"/>
                <w:sz w:val="20"/>
              </w:rPr>
              <w:t>IAM-Rollen, aber GF-Account hat Admin-Vollzugriff</w:t>
            </w:r>
          </w:p>
        </w:tc>
        <w:tc>
          <w:tcPr>
            <w:tcW w:type="dxa" w:w="3024"/>
          </w:tcPr>
          <w:p>
            <w:r>
              <w:rPr>
                <w:rFonts w:ascii="Times New Roman" w:hAnsi="Times New Roman"/>
                <w:sz w:val="20"/>
              </w:rPr>
              <w:t>Mangelhaft</w:t>
            </w:r>
          </w:p>
        </w:tc>
      </w:tr>
      <w:tr>
        <w:tc>
          <w:tcPr>
            <w:tcW w:type="dxa" w:w="3024"/>
          </w:tcPr>
          <w:p>
            <w:r>
              <w:rPr>
                <w:rFonts w:ascii="Times New Roman" w:hAnsi="Times New Roman"/>
                <w:sz w:val="20"/>
              </w:rPr>
              <w:t>Patchmanagement</w:t>
            </w:r>
          </w:p>
        </w:tc>
        <w:tc>
          <w:tcPr>
            <w:tcW w:type="dxa" w:w="3024"/>
          </w:tcPr>
          <w:p>
            <w:r>
              <w:rPr>
                <w:rFonts w:ascii="Times New Roman" w:hAnsi="Times New Roman"/>
                <w:sz w:val="20"/>
              </w:rPr>
              <w:t>Keine standardisierte Patch-Strategie</w:t>
            </w:r>
          </w:p>
        </w:tc>
        <w:tc>
          <w:tcPr>
            <w:tcW w:type="dxa" w:w="3024"/>
          </w:tcPr>
          <w:p>
            <w:r>
              <w:rPr>
                <w:rFonts w:ascii="Times New Roman" w:hAnsi="Times New Roman"/>
                <w:sz w:val="20"/>
              </w:rPr>
              <w:t>Mangelhaft</w:t>
            </w:r>
          </w:p>
        </w:tc>
      </w:tr>
      <w:tr>
        <w:tc>
          <w:tcPr>
            <w:tcW w:type="dxa" w:w="3024"/>
          </w:tcPr>
          <w:p>
            <w:r>
              <w:rPr>
                <w:rFonts w:ascii="Times New Roman" w:hAnsi="Times New Roman"/>
                <w:sz w:val="20"/>
              </w:rPr>
              <w:t>SQL-Injection-Schutz</w:t>
            </w:r>
          </w:p>
        </w:tc>
        <w:tc>
          <w:tcPr>
            <w:tcW w:type="dxa" w:w="3024"/>
          </w:tcPr>
          <w:p>
            <w:r>
              <w:rPr>
                <w:rFonts w:ascii="Times New Roman" w:hAnsi="Times New Roman"/>
                <w:sz w:val="20"/>
              </w:rPr>
              <w:t>Fehlt (CVE-2026-0188)</w:t>
            </w:r>
          </w:p>
        </w:tc>
        <w:tc>
          <w:tcPr>
            <w:tcW w:type="dxa" w:w="3024"/>
          </w:tcPr>
          <w:p>
            <w:r>
              <w:rPr>
                <w:rFonts w:ascii="Times New Roman" w:hAnsi="Times New Roman"/>
                <w:sz w:val="20"/>
              </w:rPr>
              <w:t>Kritisch</w:t>
            </w:r>
          </w:p>
        </w:tc>
      </w:tr>
      <w:tr>
        <w:tc>
          <w:tcPr>
            <w:tcW w:type="dxa" w:w="3024"/>
          </w:tcPr>
          <w:p>
            <w:r>
              <w:rPr>
                <w:rFonts w:ascii="Times New Roman" w:hAnsi="Times New Roman"/>
                <w:sz w:val="20"/>
              </w:rPr>
              <w:t>Web Application Firewall</w:t>
            </w:r>
          </w:p>
        </w:tc>
        <w:tc>
          <w:tcPr>
            <w:tcW w:type="dxa" w:w="3024"/>
          </w:tcPr>
          <w:p>
            <w:r>
              <w:rPr>
                <w:rFonts w:ascii="Times New Roman" w:hAnsi="Times New Roman"/>
                <w:sz w:val="20"/>
              </w:rPr>
              <w:t>Nicht implementiert</w:t>
            </w:r>
          </w:p>
        </w:tc>
        <w:tc>
          <w:tcPr>
            <w:tcW w:type="dxa" w:w="3024"/>
          </w:tcPr>
          <w:p>
            <w:r>
              <w:rPr>
                <w:rFonts w:ascii="Times New Roman" w:hAnsi="Times New Roman"/>
                <w:sz w:val="20"/>
              </w:rPr>
              <w:t>Mangelhaft</w:t>
            </w:r>
          </w:p>
        </w:tc>
      </w:tr>
    </w:tbl>
    <w:p>
      <w:pPr>
        <w:pStyle w:val="Heading3"/>
      </w:pPr>
      <w:r>
        <w:rPr>
          <w:rFonts w:ascii="Times New Roman" w:hAnsi="Times New Roman"/>
        </w:rPr>
        <w:t>2.2 Organisatorische Massnahmen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TOM-Bereich</w:t>
            </w:r>
          </w:p>
        </w:tc>
        <w:tc>
          <w:tcPr>
            <w:tcW w:type="dxa" w:w="3024"/>
          </w:tcPr>
          <w:p>
            <w:r>
              <w:rPr>
                <w:rFonts w:ascii="Times New Roman" w:hAnsi="Times New Roman"/>
                <w:b/>
                <w:sz w:val="20"/>
              </w:rPr>
              <w:t>Ist-Zustand</w:t>
            </w:r>
          </w:p>
        </w:tc>
        <w:tc>
          <w:tcPr>
            <w:tcW w:type="dxa" w:w="3024"/>
          </w:tcPr>
          <w:p>
            <w:r>
              <w:rPr>
                <w:rFonts w:ascii="Times New Roman" w:hAnsi="Times New Roman"/>
                <w:b/>
                <w:sz w:val="20"/>
              </w:rPr>
              <w:t>Bewertung</w:t>
            </w:r>
          </w:p>
        </w:tc>
      </w:tr>
      <w:tr>
        <w:tc>
          <w:tcPr>
            <w:tcW w:type="dxa" w:w="3024"/>
          </w:tcPr>
          <w:p>
            <w:r>
              <w:rPr>
                <w:rFonts w:ascii="Times New Roman" w:hAnsi="Times New Roman"/>
                <w:sz w:val="20"/>
              </w:rPr>
              <w:t>Datenschutzkonzept</w:t>
            </w:r>
          </w:p>
        </w:tc>
        <w:tc>
          <w:tcPr>
            <w:tcW w:type="dxa" w:w="3024"/>
          </w:tcPr>
          <w:p>
            <w:r>
              <w:rPr>
                <w:rFonts w:ascii="Times New Roman" w:hAnsi="Times New Roman"/>
                <w:sz w:val="20"/>
              </w:rPr>
              <w:t>Veraltet (2023, nicht aktuell)</w:t>
            </w:r>
          </w:p>
        </w:tc>
        <w:tc>
          <w:tcPr>
            <w:tcW w:type="dxa" w:w="3024"/>
          </w:tcPr>
          <w:p>
            <w:r>
              <w:rPr>
                <w:rFonts w:ascii="Times New Roman" w:hAnsi="Times New Roman"/>
                <w:sz w:val="20"/>
              </w:rPr>
              <w:t>Unzureichend</w:t>
            </w:r>
          </w:p>
        </w:tc>
      </w:tr>
      <w:tr>
        <w:tc>
          <w:tcPr>
            <w:tcW w:type="dxa" w:w="3024"/>
          </w:tcPr>
          <w:p>
            <w:r>
              <w:rPr>
                <w:rFonts w:ascii="Times New Roman" w:hAnsi="Times New Roman"/>
                <w:sz w:val="20"/>
              </w:rPr>
              <w:t>Schulungen Mitarbeiter</w:t>
            </w:r>
          </w:p>
        </w:tc>
        <w:tc>
          <w:tcPr>
            <w:tcW w:type="dxa" w:w="3024"/>
          </w:tcPr>
          <w:p>
            <w:r>
              <w:rPr>
                <w:rFonts w:ascii="Times New Roman" w:hAnsi="Times New Roman"/>
                <w:sz w:val="20"/>
              </w:rPr>
              <w:t>Letzte Schulung 2022</w:t>
            </w:r>
          </w:p>
        </w:tc>
        <w:tc>
          <w:tcPr>
            <w:tcW w:type="dxa" w:w="3024"/>
          </w:tcPr>
          <w:p>
            <w:r>
              <w:rPr>
                <w:rFonts w:ascii="Times New Roman" w:hAnsi="Times New Roman"/>
                <w:sz w:val="20"/>
              </w:rPr>
              <w:t>Mangelhaft</w:t>
            </w:r>
          </w:p>
        </w:tc>
      </w:tr>
      <w:tr>
        <w:tc>
          <w:tcPr>
            <w:tcW w:type="dxa" w:w="3024"/>
          </w:tcPr>
          <w:p>
            <w:r>
              <w:rPr>
                <w:rFonts w:ascii="Times New Roman" w:hAnsi="Times New Roman"/>
                <w:sz w:val="20"/>
              </w:rPr>
              <w:t>Incident-Response-Plan</w:t>
            </w:r>
          </w:p>
        </w:tc>
        <w:tc>
          <w:tcPr>
            <w:tcW w:type="dxa" w:w="3024"/>
          </w:tcPr>
          <w:p>
            <w:r>
              <w:rPr>
                <w:rFonts w:ascii="Times New Roman" w:hAnsi="Times New Roman"/>
                <w:sz w:val="20"/>
              </w:rPr>
              <w:t>Nicht vorhanden</w:t>
            </w:r>
          </w:p>
        </w:tc>
        <w:tc>
          <w:tcPr>
            <w:tcW w:type="dxa" w:w="3024"/>
          </w:tcPr>
          <w:p>
            <w:r>
              <w:rPr>
                <w:rFonts w:ascii="Times New Roman" w:hAnsi="Times New Roman"/>
                <w:sz w:val="20"/>
              </w:rPr>
              <w:t>Kritisch</w:t>
            </w:r>
          </w:p>
        </w:tc>
      </w:tr>
      <w:tr>
        <w:tc>
          <w:tcPr>
            <w:tcW w:type="dxa" w:w="3024"/>
          </w:tcPr>
          <w:p>
            <w:r>
              <w:rPr>
                <w:rFonts w:ascii="Times New Roman" w:hAnsi="Times New Roman"/>
                <w:sz w:val="20"/>
              </w:rPr>
              <w:t>Zutrittskontrolle Serverräume</w:t>
            </w:r>
          </w:p>
        </w:tc>
        <w:tc>
          <w:tcPr>
            <w:tcW w:type="dxa" w:w="3024"/>
          </w:tcPr>
          <w:p>
            <w:r>
              <w:rPr>
                <w:rFonts w:ascii="Times New Roman" w:hAnsi="Times New Roman"/>
                <w:sz w:val="20"/>
              </w:rPr>
              <w:t>Cloud (AWS) — kein physischer Server</w:t>
            </w:r>
          </w:p>
        </w:tc>
        <w:tc>
          <w:tcPr>
            <w:tcW w:type="dxa" w:w="3024"/>
          </w:tcPr>
          <w:p>
            <w:r>
              <w:rPr>
                <w:rFonts w:ascii="Times New Roman" w:hAnsi="Times New Roman"/>
                <w:sz w:val="20"/>
              </w:rPr>
              <w:t>Ausreichend</w:t>
            </w:r>
          </w:p>
        </w:tc>
      </w:tr>
      <w:tr>
        <w:tc>
          <w:tcPr>
            <w:tcW w:type="dxa" w:w="3024"/>
          </w:tcPr>
          <w:p>
            <w:r>
              <w:rPr>
                <w:rFonts w:ascii="Times New Roman" w:hAnsi="Times New Roman"/>
                <w:sz w:val="20"/>
              </w:rPr>
              <w:t>Datensicherung (Backup)</w:t>
            </w:r>
          </w:p>
        </w:tc>
        <w:tc>
          <w:tcPr>
            <w:tcW w:type="dxa" w:w="3024"/>
          </w:tcPr>
          <w:p>
            <w:r>
              <w:rPr>
                <w:rFonts w:ascii="Times New Roman" w:hAnsi="Times New Roman"/>
                <w:sz w:val="20"/>
              </w:rPr>
              <w:t>Täglich, 30 Tage Retention</w:t>
            </w:r>
          </w:p>
        </w:tc>
        <w:tc>
          <w:tcPr>
            <w:tcW w:type="dxa" w:w="3024"/>
          </w:tcPr>
          <w:p>
            <w:r>
              <w:rPr>
                <w:rFonts w:ascii="Times New Roman" w:hAnsi="Times New Roman"/>
                <w:sz w:val="20"/>
              </w:rPr>
              <w:t>Ausreichend</w:t>
            </w:r>
          </w:p>
        </w:tc>
      </w:tr>
      <w:tr>
        <w:tc>
          <w:tcPr>
            <w:tcW w:type="dxa" w:w="3024"/>
          </w:tcPr>
          <w:p>
            <w:r>
              <w:rPr>
                <w:rFonts w:ascii="Times New Roman" w:hAnsi="Times New Roman"/>
                <w:sz w:val="20"/>
              </w:rPr>
              <w:t>Löschkonzept</w:t>
            </w:r>
          </w:p>
        </w:tc>
        <w:tc>
          <w:tcPr>
            <w:tcW w:type="dxa" w:w="3024"/>
          </w:tcPr>
          <w:p>
            <w:r>
              <w:rPr>
                <w:rFonts w:ascii="Times New Roman" w:hAnsi="Times New Roman"/>
                <w:sz w:val="20"/>
              </w:rPr>
              <w:t>Nicht dokumentiert</w:t>
            </w:r>
          </w:p>
        </w:tc>
        <w:tc>
          <w:tcPr>
            <w:tcW w:type="dxa" w:w="3024"/>
          </w:tcPr>
          <w:p>
            <w:r>
              <w:rPr>
                <w:rFonts w:ascii="Times New Roman" w:hAnsi="Times New Roman"/>
                <w:sz w:val="20"/>
              </w:rPr>
              <w:t>Mangelhaft</w:t>
            </w:r>
          </w:p>
        </w:tc>
      </w:tr>
      <w:tr>
        <w:tc>
          <w:tcPr>
            <w:tcW w:type="dxa" w:w="3024"/>
          </w:tcPr>
          <w:p>
            <w:r>
              <w:rPr>
                <w:rFonts w:ascii="Times New Roman" w:hAnsi="Times New Roman"/>
                <w:sz w:val="20"/>
              </w:rPr>
              <w:t>Datenschutz-Folgenabschaetzung</w:t>
            </w:r>
          </w:p>
        </w:tc>
        <w:tc>
          <w:tcPr>
            <w:tcW w:type="dxa" w:w="3024"/>
          </w:tcPr>
          <w:p>
            <w:r>
              <w:rPr>
                <w:rFonts w:ascii="Times New Roman" w:hAnsi="Times New Roman"/>
                <w:sz w:val="20"/>
              </w:rPr>
              <w:t>Nicht durchgeführt (s. Akte 05)</w:t>
            </w:r>
          </w:p>
        </w:tc>
        <w:tc>
          <w:tcPr>
            <w:tcW w:type="dxa" w:w="3024"/>
          </w:tcPr>
          <w:p>
            <w:r>
              <w:rPr>
                <w:rFonts w:ascii="Times New Roman" w:hAnsi="Times New Roman"/>
                <w:sz w:val="20"/>
              </w:rPr>
              <w:t>Kritisch</w:t>
            </w:r>
          </w:p>
        </w:tc>
      </w:tr>
    </w:tbl>
    <w:p>
      <w:pPr>
        <w:pStyle w:val="Heading3"/>
      </w:pPr>
      <w:r>
        <w:rPr>
          <w:rFonts w:ascii="Times New Roman" w:hAnsi="Times New Roman"/>
        </w:rPr>
        <w:t>2.3 Ergebnis Ist-Analyse</w:t>
      </w:r>
    </w:p>
    <w:p>
      <w:pPr>
        <w:jc w:val="left"/>
      </w:pPr>
      <w:r>
        <w:t>Von 14 geprüften TOM-Bereichen sind 4 als „Ausreichend", 5 als „Mangelhaft" und 5 als „Unzureichend/Kritisch" bewertet. Dies entspricht einem erheblichen Sicherheitsdefizit, das die Datenpanne CVE-2026-0188 erst ermöglichte.</w:t>
      </w:r>
    </w:p>
    <w:p/>
    <w:p>
      <w:pPr>
        <w:pStyle w:val="Heading2"/>
      </w:pPr>
      <w:r>
        <w:rPr>
          <w:rFonts w:ascii="Times New Roman" w:hAnsi="Times New Roman"/>
        </w:rPr>
        <w:t>3. Soll-Konzept: Neue TOM nach Stand der Technik</w:t>
      </w:r>
    </w:p>
    <w:p>
      <w:pPr>
        <w:pStyle w:val="Heading3"/>
      </w:pPr>
      <w:r>
        <w:rPr>
          <w:rFonts w:ascii="Times New Roman" w:hAnsi="Times New Roman"/>
        </w:rPr>
        <w:t>3.1 Technische Massnahmen (Priorität HOCH)</w:t>
      </w:r>
    </w:p>
    <w:p>
      <w:pPr>
        <w:jc w:val="left"/>
      </w:pPr>
      <w:r>
        <w:rPr>
          <w:b/>
        </w:rPr>
        <w:t>Massnahme 1 — SQL-Injection-Abwehr:</w:t>
      </w:r>
    </w:p>
    <w:p>
      <w:pPr>
        <w:pStyle w:val="ListBullet"/>
      </w:pPr>
      <w:r>
        <w:t>Implementierung Prepared Statements und Parametrisierung in allen Datenbankabfragen</w:t>
      </w:r>
    </w:p>
    <w:p>
      <w:pPr>
        <w:pStyle w:val="ListBullet"/>
      </w:pPr>
      <w:r>
        <w:t>Einsatz einer Web Application Firewall (AWS WAF oder Cloudflare Enterprise)</w:t>
      </w:r>
    </w:p>
    <w:p>
      <w:pPr>
        <w:pStyle w:val="ListBullet"/>
      </w:pPr>
      <w:r>
        <w:t>Input-Validierung für alle API-Endpoints</w:t>
      </w:r>
    </w:p>
    <w:p>
      <w:pPr>
        <w:pStyle w:val="ListBullet"/>
      </w:pPr>
      <w:r>
        <w:t>Frist: 31.01.2026 (bereits eingeleitet, Patch für CVE-2026-0188 aktiv)</w:t>
      </w:r>
    </w:p>
    <w:p>
      <w:pPr>
        <w:jc w:val="left"/>
      </w:pPr>
      <w:r>
        <w:rPr>
          <w:b/>
        </w:rPr>
        <w:t>Massnahme 2 — TLS-Upgrade:</w:t>
      </w:r>
    </w:p>
    <w:p>
      <w:pPr>
        <w:pStyle w:val="ListBullet"/>
      </w:pPr>
      <w:r>
        <w:t>Upgrade aller API-Verbindungen auf TLS 1.3</w:t>
      </w:r>
    </w:p>
    <w:p>
      <w:pPr>
        <w:pStyle w:val="ListBullet"/>
      </w:pPr>
      <w:r>
        <w:t>Deaktivierung TLS 1.0 und TLS 1.1</w:t>
      </w:r>
    </w:p>
    <w:p>
      <w:pPr>
        <w:pStyle w:val="ListBullet"/>
      </w:pPr>
      <w:r>
        <w:t>Zertifikatspinning für kritische API-Verbindungen (Sundara Tech, Schufa-API)</w:t>
      </w:r>
    </w:p>
    <w:p>
      <w:pPr>
        <w:pStyle w:val="ListBullet"/>
      </w:pPr>
      <w:r>
        <w:t>Frist: 15.02.2026</w:t>
      </w:r>
    </w:p>
    <w:p>
      <w:pPr>
        <w:jc w:val="left"/>
      </w:pPr>
      <w:r>
        <w:rPr>
          <w:b/>
        </w:rPr>
        <w:t>Massnahme 3 — Netzwerk-Segmentierung:</w:t>
      </w:r>
    </w:p>
    <w:p>
      <w:pPr>
        <w:pStyle w:val="ListBullet"/>
      </w:pPr>
      <w:r>
        <w:t>Vollständige Trennung Staging- und Produktionsumgebung</w:t>
      </w:r>
    </w:p>
    <w:p>
      <w:pPr>
        <w:pStyle w:val="ListBullet"/>
      </w:pPr>
      <w:r>
        <w:t>Keine Echtdaten im Staging (nur synthetische Aktenstand)</w:t>
      </w:r>
    </w:p>
    <w:p>
      <w:pPr>
        <w:pStyle w:val="ListBullet"/>
      </w:pPr>
      <w:r>
        <w:t>Separates VPC für Produktionsdatenbank</w:t>
      </w:r>
    </w:p>
    <w:p>
      <w:pPr>
        <w:pStyle w:val="ListBullet"/>
      </w:pPr>
      <w:r>
        <w:t>Frist: 28.02.2026</w:t>
      </w:r>
    </w:p>
    <w:p>
      <w:pPr>
        <w:jc w:val="left"/>
      </w:pPr>
      <w:r>
        <w:rPr>
          <w:b/>
        </w:rPr>
        <w:t>Massnahme 4 — Zugangskontrolle:</w:t>
      </w:r>
    </w:p>
    <w:p>
      <w:pPr>
        <w:pStyle w:val="ListBullet"/>
      </w:pPr>
      <w:r>
        <w:t>Entzug Admin-Vollzugriff für GF-Account</w:t>
      </w:r>
    </w:p>
    <w:p>
      <w:pPr>
        <w:pStyle w:val="ListBullet"/>
      </w:pPr>
      <w:r>
        <w:t>Least-Privilege-Prinzip für alle IAM-Rollen</w:t>
      </w:r>
    </w:p>
    <w:p>
      <w:pPr>
        <w:pStyle w:val="ListBullet"/>
      </w:pPr>
      <w:r>
        <w:t>Multi-Faktor-Authentifizierung für alle Produktionszugänge</w:t>
      </w:r>
    </w:p>
    <w:p>
      <w:pPr>
        <w:pStyle w:val="ListBullet"/>
      </w:pPr>
      <w:r>
        <w:t>Privileged Access Workstation (PAW) für Datenbankadministration</w:t>
      </w:r>
    </w:p>
    <w:p>
      <w:pPr>
        <w:pStyle w:val="ListBullet"/>
      </w:pPr>
      <w:r>
        <w:t>Frist: 07.02.2026</w:t>
      </w:r>
    </w:p>
    <w:p>
      <w:pPr>
        <w:jc w:val="left"/>
      </w:pPr>
      <w:r>
        <w:rPr>
          <w:b/>
        </w:rPr>
        <w:t>Massnahme 5 — Pseudonymisierung:</w:t>
      </w:r>
    </w:p>
    <w:p>
      <w:pPr>
        <w:pStyle w:val="ListBullet"/>
      </w:pPr>
      <w:r>
        <w:t>Pseudonymisierung aller Mietinteressenten-Daten vor Transfer an Sundara Tech</w:t>
      </w:r>
    </w:p>
    <w:p>
      <w:pPr>
        <w:pStyle w:val="ListBullet"/>
      </w:pPr>
      <w:r>
        <w:t>Tokenisierung des ProspectScores (Score-Wert übertragen, Name + Adresse bleiben in EU)</w:t>
      </w:r>
    </w:p>
    <w:p>
      <w:pPr>
        <w:pStyle w:val="ListBullet"/>
      </w:pPr>
      <w:r>
        <w:t>Frist: 14.02.2026</w:t>
      </w:r>
    </w:p>
    <w:p>
      <w:pPr>
        <w:pStyle w:val="Heading3"/>
      </w:pPr>
      <w:r>
        <w:rPr>
          <w:rFonts w:ascii="Times New Roman" w:hAnsi="Times New Roman"/>
        </w:rPr>
        <w:t>3.2 Organisatorische Massnahmen (Priorität MITTEL)</w:t>
      </w:r>
    </w:p>
    <w:p>
      <w:pPr>
        <w:jc w:val="left"/>
      </w:pPr>
      <w:r>
        <w:rPr>
          <w:b/>
        </w:rPr>
        <w:t>Massnahme 6 — Incident-Response-Plan:</w:t>
      </w:r>
    </w:p>
    <w:p>
      <w:pPr>
        <w:pStyle w:val="ListBullet"/>
      </w:pPr>
      <w:r>
        <w:t>Erstellung nach NIST Cybersecurity Framework und BSI IT-Grundschutz</w:t>
      </w:r>
    </w:p>
    <w:p>
      <w:pPr>
        <w:pStyle w:val="ListBullet"/>
      </w:pPr>
      <w:r>
        <w:t>Rollen: CISO (Tarkan Bilgic), DSB (Kessler-Brandt), Kommunikationsverantwortlicher</w:t>
      </w:r>
    </w:p>
    <w:p>
      <w:pPr>
        <w:pStyle w:val="ListBullet"/>
      </w:pPr>
      <w:r>
        <w:t>Meldeketten: 1h-Eskalation intern, 72h LDI NRW-Meldung</w:t>
      </w:r>
    </w:p>
    <w:p>
      <w:pPr>
        <w:pStyle w:val="ListBullet"/>
      </w:pPr>
      <w:r>
        <w:t>Frist: 28.02.2026</w:t>
      </w:r>
    </w:p>
    <w:p>
      <w:pPr>
        <w:jc w:val="left"/>
      </w:pPr>
      <w:r>
        <w:rPr>
          <w:b/>
        </w:rPr>
        <w:t>Massnahme 7 — Schulungen:</w:t>
      </w:r>
    </w:p>
    <w:p>
      <w:pPr>
        <w:pStyle w:val="ListBullet"/>
      </w:pPr>
      <w:r>
        <w:t>Jährliche DSGVO-Pflichtschulung für alle 38 Mitarbeiter</w:t>
      </w:r>
    </w:p>
    <w:p>
      <w:pPr>
        <w:pStyle w:val="ListBullet"/>
      </w:pPr>
      <w:r>
        <w:t>Spezialschulung IT-Team zu Secure Coding und OWASP Top 10</w:t>
      </w:r>
    </w:p>
    <w:p>
      <w:pPr>
        <w:pStyle w:val="ListBullet"/>
      </w:pPr>
      <w:r>
        <w:t>E-Learning-Plattform: TuVit (DSGVO-konform)</w:t>
      </w:r>
    </w:p>
    <w:p>
      <w:pPr>
        <w:pStyle w:val="ListBullet"/>
      </w:pPr>
      <w:r>
        <w:t>Frist: 31.03.2026</w:t>
      </w:r>
    </w:p>
    <w:p>
      <w:pPr>
        <w:jc w:val="left"/>
      </w:pPr>
      <w:r>
        <w:rPr>
          <w:b/>
        </w:rPr>
        <w:t>Massnahme 8 — Löschkonzept:</w:t>
      </w:r>
    </w:p>
    <w:p>
      <w:pPr>
        <w:pStyle w:val="ListBullet"/>
      </w:pPr>
      <w:r>
        <w:t>Definition Löschfristen pro Datenkategorie (Scoring-Daten: 24 Monate; Kontaktdaten: 36 Monate nach letzter Interaktion)</w:t>
      </w:r>
    </w:p>
    <w:p>
      <w:pPr>
        <w:pStyle w:val="ListBullet"/>
      </w:pPr>
      <w:r>
        <w:t>Automatisiertes Löschprotokoll mit Nachweis</w:t>
      </w:r>
    </w:p>
    <w:p>
      <w:pPr>
        <w:pStyle w:val="ListBullet"/>
      </w:pPr>
      <w:r>
        <w:t>Frist: 15.02.2026</w:t>
      </w:r>
    </w:p>
    <w:p/>
    <w:p>
      <w:pPr>
        <w:pStyle w:val="Heading2"/>
      </w:pPr>
      <w:r>
        <w:rPr>
          <w:rFonts w:ascii="Times New Roman" w:hAnsi="Times New Roman"/>
        </w:rPr>
        <w:t>4. Gap-Analyse nach ISO 27001:2022</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ISO-27001-Kontroll</w:t>
            </w:r>
          </w:p>
        </w:tc>
        <w:tc>
          <w:tcPr>
            <w:tcW w:type="dxa" w:w="3024"/>
          </w:tcPr>
          <w:p>
            <w:r>
              <w:rPr>
                <w:rFonts w:ascii="Times New Roman" w:hAnsi="Times New Roman"/>
                <w:b/>
                <w:sz w:val="20"/>
              </w:rPr>
              <w:t>Status</w:t>
            </w:r>
          </w:p>
        </w:tc>
        <w:tc>
          <w:tcPr>
            <w:tcW w:type="dxa" w:w="3024"/>
          </w:tcPr>
          <w:p>
            <w:r>
              <w:rPr>
                <w:rFonts w:ascii="Times New Roman" w:hAnsi="Times New Roman"/>
                <w:b/>
                <w:sz w:val="20"/>
              </w:rPr>
              <w:t>Priorität Sanierung</w:t>
            </w:r>
          </w:p>
        </w:tc>
      </w:tr>
      <w:tr>
        <w:tc>
          <w:tcPr>
            <w:tcW w:type="dxa" w:w="3024"/>
          </w:tcPr>
          <w:p>
            <w:r>
              <w:rPr>
                <w:rFonts w:ascii="Times New Roman" w:hAnsi="Times New Roman"/>
                <w:sz w:val="20"/>
              </w:rPr>
              <w:t>A 5.3 (Informationssicherheitsrollen)</w:t>
            </w:r>
          </w:p>
        </w:tc>
        <w:tc>
          <w:tcPr>
            <w:tcW w:type="dxa" w:w="3024"/>
          </w:tcPr>
          <w:p>
            <w:r>
              <w:rPr>
                <w:rFonts w:ascii="Times New Roman" w:hAnsi="Times New Roman"/>
                <w:sz w:val="20"/>
              </w:rPr>
              <w:t>Nicht vollständig</w:t>
            </w:r>
          </w:p>
        </w:tc>
        <w:tc>
          <w:tcPr>
            <w:tcW w:type="dxa" w:w="3024"/>
          </w:tcPr>
          <w:p>
            <w:r>
              <w:rPr>
                <w:rFonts w:ascii="Times New Roman" w:hAnsi="Times New Roman"/>
                <w:sz w:val="20"/>
              </w:rPr>
              <w:t>HOCH</w:t>
            </w:r>
          </w:p>
        </w:tc>
      </w:tr>
      <w:tr>
        <w:tc>
          <w:tcPr>
            <w:tcW w:type="dxa" w:w="3024"/>
          </w:tcPr>
          <w:p>
            <w:r>
              <w:rPr>
                <w:rFonts w:ascii="Times New Roman" w:hAnsi="Times New Roman"/>
                <w:sz w:val="20"/>
              </w:rPr>
              <w:t>A 5.24 (Informationssicherheitsvorfallsplanung)</w:t>
            </w:r>
          </w:p>
        </w:tc>
        <w:tc>
          <w:tcPr>
            <w:tcW w:type="dxa" w:w="3024"/>
          </w:tcPr>
          <w:p>
            <w:r>
              <w:rPr>
                <w:rFonts w:ascii="Times New Roman" w:hAnsi="Times New Roman"/>
                <w:sz w:val="20"/>
              </w:rPr>
              <w:t>Fehlt</w:t>
            </w:r>
          </w:p>
        </w:tc>
        <w:tc>
          <w:tcPr>
            <w:tcW w:type="dxa" w:w="3024"/>
          </w:tcPr>
          <w:p>
            <w:r>
              <w:rPr>
                <w:rFonts w:ascii="Times New Roman" w:hAnsi="Times New Roman"/>
                <w:sz w:val="20"/>
              </w:rPr>
              <w:t>KRITISCH</w:t>
            </w:r>
          </w:p>
        </w:tc>
      </w:tr>
      <w:tr>
        <w:tc>
          <w:tcPr>
            <w:tcW w:type="dxa" w:w="3024"/>
          </w:tcPr>
          <w:p>
            <w:r>
              <w:rPr>
                <w:rFonts w:ascii="Times New Roman" w:hAnsi="Times New Roman"/>
                <w:sz w:val="20"/>
              </w:rPr>
              <w:t>A 5.26 (Reaktion auf Sicherheitsvorfälle)</w:t>
            </w:r>
          </w:p>
        </w:tc>
        <w:tc>
          <w:tcPr>
            <w:tcW w:type="dxa" w:w="3024"/>
          </w:tcPr>
          <w:p>
            <w:r>
              <w:rPr>
                <w:rFonts w:ascii="Times New Roman" w:hAnsi="Times New Roman"/>
                <w:sz w:val="20"/>
              </w:rPr>
              <w:t>Fehlt</w:t>
            </w:r>
          </w:p>
        </w:tc>
        <w:tc>
          <w:tcPr>
            <w:tcW w:type="dxa" w:w="3024"/>
          </w:tcPr>
          <w:p>
            <w:r>
              <w:rPr>
                <w:rFonts w:ascii="Times New Roman" w:hAnsi="Times New Roman"/>
                <w:sz w:val="20"/>
              </w:rPr>
              <w:t>KRITISCH</w:t>
            </w:r>
          </w:p>
        </w:tc>
      </w:tr>
      <w:tr>
        <w:tc>
          <w:tcPr>
            <w:tcW w:type="dxa" w:w="3024"/>
          </w:tcPr>
          <w:p>
            <w:r>
              <w:rPr>
                <w:rFonts w:ascii="Times New Roman" w:hAnsi="Times New Roman"/>
                <w:sz w:val="20"/>
              </w:rPr>
              <w:t>A 8.8 (Schwachstellenmanagement)</w:t>
            </w:r>
          </w:p>
        </w:tc>
        <w:tc>
          <w:tcPr>
            <w:tcW w:type="dxa" w:w="3024"/>
          </w:tcPr>
          <w:p>
            <w:r>
              <w:rPr>
                <w:rFonts w:ascii="Times New Roman" w:hAnsi="Times New Roman"/>
                <w:sz w:val="20"/>
              </w:rPr>
              <w:t>Fehlt (CVE-2026-0188 zeigt dies)</w:t>
            </w:r>
          </w:p>
        </w:tc>
        <w:tc>
          <w:tcPr>
            <w:tcW w:type="dxa" w:w="3024"/>
          </w:tcPr>
          <w:p>
            <w:r>
              <w:rPr>
                <w:rFonts w:ascii="Times New Roman" w:hAnsi="Times New Roman"/>
                <w:sz w:val="20"/>
              </w:rPr>
              <w:t>KRITISCH</w:t>
            </w:r>
          </w:p>
        </w:tc>
      </w:tr>
      <w:tr>
        <w:tc>
          <w:tcPr>
            <w:tcW w:type="dxa" w:w="3024"/>
          </w:tcPr>
          <w:p>
            <w:r>
              <w:rPr>
                <w:rFonts w:ascii="Times New Roman" w:hAnsi="Times New Roman"/>
                <w:sz w:val="20"/>
              </w:rPr>
              <w:t>A 8.25 (Sichere Entwicklung)</w:t>
            </w:r>
          </w:p>
        </w:tc>
        <w:tc>
          <w:tcPr>
            <w:tcW w:type="dxa" w:w="3024"/>
          </w:tcPr>
          <w:p>
            <w:r>
              <w:rPr>
                <w:rFonts w:ascii="Times New Roman" w:hAnsi="Times New Roman"/>
                <w:sz w:val="20"/>
              </w:rPr>
              <w:t>Partiell</w:t>
            </w:r>
          </w:p>
        </w:tc>
        <w:tc>
          <w:tcPr>
            <w:tcW w:type="dxa" w:w="3024"/>
          </w:tcPr>
          <w:p>
            <w:r>
              <w:rPr>
                <w:rFonts w:ascii="Times New Roman" w:hAnsi="Times New Roman"/>
                <w:sz w:val="20"/>
              </w:rPr>
              <w:t>HOCH</w:t>
            </w:r>
          </w:p>
        </w:tc>
      </w:tr>
      <w:tr>
        <w:tc>
          <w:tcPr>
            <w:tcW w:type="dxa" w:w="3024"/>
          </w:tcPr>
          <w:p>
            <w:r>
              <w:rPr>
                <w:rFonts w:ascii="Times New Roman" w:hAnsi="Times New Roman"/>
                <w:sz w:val="20"/>
              </w:rPr>
              <w:t>A 8.9 (Konfigurationsmanagement)</w:t>
            </w:r>
          </w:p>
        </w:tc>
        <w:tc>
          <w:tcPr>
            <w:tcW w:type="dxa" w:w="3024"/>
          </w:tcPr>
          <w:p>
            <w:r>
              <w:rPr>
                <w:rFonts w:ascii="Times New Roman" w:hAnsi="Times New Roman"/>
                <w:sz w:val="20"/>
              </w:rPr>
              <w:t>Partiell</w:t>
            </w:r>
          </w:p>
        </w:tc>
        <w:tc>
          <w:tcPr>
            <w:tcW w:type="dxa" w:w="3024"/>
          </w:tcPr>
          <w:p>
            <w:r>
              <w:rPr>
                <w:rFonts w:ascii="Times New Roman" w:hAnsi="Times New Roman"/>
                <w:sz w:val="20"/>
              </w:rPr>
              <w:t>MITTEL</w:t>
            </w:r>
          </w:p>
        </w:tc>
      </w:tr>
    </w:tbl>
    <w:p/>
    <w:p>
      <w:pPr>
        <w:pStyle w:val="Heading2"/>
      </w:pPr>
      <w:r>
        <w:rPr>
          <w:rFonts w:ascii="Times New Roman" w:hAnsi="Times New Roman"/>
        </w:rPr>
        <w:t>5. Dokumentation gegenüber LDI NRW</w:t>
      </w:r>
    </w:p>
    <w:p>
      <w:pPr>
        <w:jc w:val="left"/>
      </w:pPr>
      <w:r>
        <w:t>Im Rahmen des Aufsichtsverfahrens DSB-NW-44/26 wird VCS der LDI NRW bis zum 15.03.2026 folgende TOM-Nachweise übergeben:</w:t>
      </w:r>
    </w:p>
    <w:p>
      <w:pPr>
        <w:pStyle w:val="ListNumber"/>
      </w:pPr>
      <w:r>
        <w:t>Aktualisiertes TOM-Dokument (Soll-Zustand nach Sanierung)</w:t>
      </w:r>
    </w:p>
    <w:p>
      <w:pPr>
        <w:pStyle w:val="ListNumber"/>
      </w:pPr>
      <w:r>
        <w:t>Penetrationstest-Bericht SecureProof GmbH (Neu-Test nach Sanierung)</w:t>
      </w:r>
    </w:p>
    <w:p>
      <w:pPr>
        <w:pStyle w:val="ListNumber"/>
      </w:pPr>
      <w:r>
        <w:t>Schulungsnachweise der Mitarbeiter</w:t>
      </w:r>
    </w:p>
    <w:p>
      <w:pPr>
        <w:pStyle w:val="ListNumber"/>
      </w:pPr>
      <w:r>
        <w:t>AVV-Nachweis mit Sundara Tech inkl. SCC</w:t>
      </w:r>
    </w:p>
    <w:p>
      <w:pPr>
        <w:pStyle w:val="ListNumber"/>
      </w:pPr>
      <w:r>
        <w:t>Nachweis Incident-Response-Plan-Implementierung</w:t>
      </w:r>
    </w:p>
    <w:p/>
    <w:p>
      <w:pPr>
        <w:pStyle w:val="Heading2"/>
      </w:pPr>
      <w:r>
        <w:rPr>
          <w:rFonts w:ascii="Times New Roman" w:hAnsi="Times New Roman"/>
        </w:rPr>
        <w:t>Quellen</w:t>
      </w:r>
    </w:p>
    <w:p>
      <w:pPr>
        <w:pStyle w:val="ListBullet"/>
      </w:pPr>
      <w:r>
        <w:t>DSGVO Art. 32 — dejure.org/gesetze/DSGVO</w:t>
      </w:r>
    </w:p>
    <w:p>
      <w:pPr>
        <w:pStyle w:val="ListBullet"/>
      </w:pPr>
      <w:r>
        <w:t>ISO/IEC 27001:2022 — iso.org</w:t>
      </w:r>
    </w:p>
    <w:p>
      <w:pPr>
        <w:pStyle w:val="ListBullet"/>
      </w:pPr>
      <w:r>
        <w:t>BSI IT-Grundschutz-Kompendium 2023 — bsi.bund.de</w:t>
      </w:r>
    </w:p>
    <w:p>
      <w:pPr>
        <w:pStyle w:val="ListBullet"/>
      </w:pPr>
      <w:r>
        <w:t>OWASP Top 10 (2021) — owasp.org</w:t>
      </w:r>
    </w:p>
    <w:p>
      <w:pPr>
        <w:pStyle w:val="ListBullet"/>
      </w:pPr>
      <w:r>
        <w:t>NIST Cybersecurity Framework 2.0 — nist.gov</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IT-Sicherheitsberater SecureProof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IT-Sicherheitsberater SecureProof GmbH</w:t>
    </w:r>
  </w:p>
  <w:p>
    <w:pPr>
      <w:jc w:val="left"/>
      <w:pBdr>
        <w:bottom w:val="single" w:sz="6" w:space="2" w:color="3B3F45"/>
      </w:pBdr>
    </w:pPr>
    <w:r>
      <w:rPr>
        <w:rFonts w:ascii="Times New Roman" w:hAnsi="Times New Roman"/>
        <w:color w:val="6B6B66"/>
        <w:sz w:val="16"/>
      </w:rPr>
      <w:t>externer IT-Sicherheitsberater SecureProof GmbH · Aktenzeichen: DSB-NW-44/26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