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Vergleichsdokument 1: Mandantenbrief 1 (Heizkosten) -- schwer → einfach → leicht</w:t>
      </w:r>
    </w:p>
    <w:p>
      <w:pPr>
        <w:jc w:val="left"/>
      </w:pPr>
      <w:r>
        <w:rPr>
          <w:b/>
        </w:rPr>
        <w:t>Brief 1</w:t>
      </w:r>
      <w:r>
        <w:t xml:space="preserve"> ist der bereits vorliegende Mandantenbrief (</w:t>
      </w:r>
      <w:r>
        <w:t>01_original_juristischer_text.md</w:t>
      </w:r>
      <w:r>
        <w:t>) der Kanzlei Muster &amp; Partner an Frau Neumann zu den Heizkosten. Dieses Vergleichsdokument legt drei Versionen direkter Sätze nebeneinander.</w:t>
      </w:r>
    </w:p>
    <w:p>
      <w:pPr>
        <w:pStyle w:val="Heading2"/>
      </w:pPr>
      <w:r>
        <w:rPr>
          <w:rFonts w:ascii="Times New Roman" w:hAnsi="Times New Roman"/>
        </w:rPr>
        <w:t>Vergleichsgegenstand: Mandantenbrief zur Heizkostenkürzung Jobcenter</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Wert</w:t>
            </w:r>
          </w:p>
        </w:tc>
      </w:tr>
      <w:tr>
        <w:tc>
          <w:tcPr>
            <w:tcW w:type="dxa" w:w="4536"/>
          </w:tcPr>
          <w:p>
            <w:r>
              <w:rPr>
                <w:rFonts w:ascii="Times New Roman" w:hAnsi="Times New Roman"/>
                <w:sz w:val="20"/>
              </w:rPr>
              <w:t>Aktenzeichen Kanzlei</w:t>
            </w:r>
          </w:p>
        </w:tc>
        <w:tc>
          <w:tcPr>
            <w:tcW w:type="dxa" w:w="4536"/>
          </w:tcPr>
          <w:p>
            <w:r>
              <w:rPr>
                <w:rFonts w:ascii="Times New Roman" w:hAnsi="Times New Roman"/>
                <w:sz w:val="20"/>
              </w:rPr>
              <w:t>KMP/SoR/2026/0438</w:t>
            </w:r>
          </w:p>
        </w:tc>
      </w:tr>
      <w:tr>
        <w:tc>
          <w:tcPr>
            <w:tcW w:type="dxa" w:w="4536"/>
          </w:tcPr>
          <w:p>
            <w:r>
              <w:rPr>
                <w:rFonts w:ascii="Times New Roman" w:hAnsi="Times New Roman"/>
                <w:sz w:val="20"/>
              </w:rPr>
              <w:t>Datum</w:t>
            </w:r>
          </w:p>
        </w:tc>
        <w:tc>
          <w:tcPr>
            <w:tcW w:type="dxa" w:w="4536"/>
          </w:tcPr>
          <w:p>
            <w:r>
              <w:rPr>
                <w:rFonts w:ascii="Times New Roman" w:hAnsi="Times New Roman"/>
                <w:sz w:val="20"/>
              </w:rPr>
              <w:t>12.05.2026</w:t>
            </w:r>
          </w:p>
        </w:tc>
      </w:tr>
      <w:tr>
        <w:tc>
          <w:tcPr>
            <w:tcW w:type="dxa" w:w="4536"/>
          </w:tcPr>
          <w:p>
            <w:r>
              <w:rPr>
                <w:rFonts w:ascii="Times New Roman" w:hAnsi="Times New Roman"/>
                <w:sz w:val="20"/>
              </w:rPr>
              <w:t>Streitwert</w:t>
            </w:r>
          </w:p>
        </w:tc>
        <w:tc>
          <w:tcPr>
            <w:tcW w:type="dxa" w:w="4536"/>
          </w:tcPr>
          <w:p>
            <w:r>
              <w:rPr>
                <w:rFonts w:ascii="Times New Roman" w:hAnsi="Times New Roman"/>
                <w:sz w:val="20"/>
              </w:rPr>
              <w:t>ca. 1.800 EUR (Differenz Heizkosten 6 Monate)</w:t>
            </w:r>
          </w:p>
        </w:tc>
      </w:tr>
      <w:tr>
        <w:tc>
          <w:tcPr>
            <w:tcW w:type="dxa" w:w="4536"/>
          </w:tcPr>
          <w:p>
            <w:r>
              <w:rPr>
                <w:rFonts w:ascii="Times New Roman" w:hAnsi="Times New Roman"/>
                <w:sz w:val="20"/>
              </w:rPr>
              <w:t>Wortzahl Originaltext</w:t>
            </w:r>
          </w:p>
        </w:tc>
        <w:tc>
          <w:tcPr>
            <w:tcW w:type="dxa" w:w="4536"/>
          </w:tcPr>
          <w:p>
            <w:r>
              <w:rPr>
                <w:rFonts w:ascii="Times New Roman" w:hAnsi="Times New Roman"/>
                <w:sz w:val="20"/>
              </w:rPr>
              <w:t>478 Wörter</w:t>
            </w:r>
          </w:p>
        </w:tc>
      </w:tr>
      <w:tr>
        <w:tc>
          <w:tcPr>
            <w:tcW w:type="dxa" w:w="4536"/>
          </w:tcPr>
          <w:p>
            <w:r>
              <w:rPr>
                <w:rFonts w:ascii="Times New Roman" w:hAnsi="Times New Roman"/>
                <w:sz w:val="20"/>
              </w:rPr>
              <w:t>Wortzahl Einfache Sprache</w:t>
            </w:r>
          </w:p>
        </w:tc>
        <w:tc>
          <w:tcPr>
            <w:tcW w:type="dxa" w:w="4536"/>
          </w:tcPr>
          <w:p>
            <w:r>
              <w:rPr>
                <w:rFonts w:ascii="Times New Roman" w:hAnsi="Times New Roman"/>
                <w:sz w:val="20"/>
              </w:rPr>
              <w:t>426 Wörter</w:t>
            </w:r>
          </w:p>
        </w:tc>
      </w:tr>
      <w:tr>
        <w:tc>
          <w:tcPr>
            <w:tcW w:type="dxa" w:w="4536"/>
          </w:tcPr>
          <w:p>
            <w:r>
              <w:rPr>
                <w:rFonts w:ascii="Times New Roman" w:hAnsi="Times New Roman"/>
                <w:sz w:val="20"/>
              </w:rPr>
              <w:t>Wortzahl Leichte Sprache</w:t>
            </w:r>
          </w:p>
        </w:tc>
        <w:tc>
          <w:tcPr>
            <w:tcW w:type="dxa" w:w="4536"/>
          </w:tcPr>
          <w:p>
            <w:r>
              <w:rPr>
                <w:rFonts w:ascii="Times New Roman" w:hAnsi="Times New Roman"/>
                <w:sz w:val="20"/>
              </w:rPr>
              <w:t>234 Wörter</w:t>
            </w:r>
          </w:p>
        </w:tc>
      </w:tr>
    </w:tbl>
    <w:p>
      <w:pPr>
        <w:pStyle w:val="Heading2"/>
      </w:pPr>
      <w:r>
        <w:rPr>
          <w:rFonts w:ascii="Times New Roman" w:hAnsi="Times New Roman"/>
        </w:rPr>
        <w:t>Satz-für-Satz-Vergleich (Auszug)</w:t>
      </w:r>
    </w:p>
    <w:p>
      <w:pPr>
        <w:pStyle w:val="Heading3"/>
      </w:pPr>
      <w:r>
        <w:rPr>
          <w:rFonts w:ascii="Times New Roman" w:hAnsi="Times New Roman"/>
        </w:rPr>
        <w:t>Beispiel 1 -- Eröffnungssatz</w:t>
      </w:r>
    </w:p>
    <w:p>
      <w:pPr>
        <w:jc w:val="left"/>
      </w:pPr>
      <w:r>
        <w:rPr>
          <w:b/>
        </w:rPr>
        <w:t>Schwer (Original):</w:t>
      </w:r>
    </w:p>
    <w:p>
      <w:pPr>
        <w:ind w:left="567"/>
      </w:pPr>
      <w:r>
        <w:rPr>
          <w:i/>
        </w:rPr>
        <w:t>Wir bedanken uns für Ihr Vertrauen und nehmen Bezug auf das Telefonat vom 8. Mai 2026, in dem Sie uns den Ihnen am 3. Mai 2026 zugestellten Bescheid des Jobcenters Berlin-Lichtenberg (Bescheid vom 28. April 2026, Az. JC-LB-2026-00814-KdU) vorgelegt haben.</w:t>
      </w:r>
    </w:p>
    <w:p>
      <w:pPr>
        <w:ind w:left="567"/>
      </w:pPr>
      <w:r>
        <w:rPr>
          <w:i/>
        </w:rPr>
        <w:t>Wortzahl: 41. Schachtelsatz mit Nebensatz und Klammern. Aktenzeichen mitten im Satz.</w:t>
      </w:r>
    </w:p>
    <w:p>
      <w:pPr>
        <w:jc w:val="left"/>
      </w:pPr>
      <w:r>
        <w:rPr>
          <w:b/>
        </w:rPr>
        <w:t>Einfache Sprache:</w:t>
      </w:r>
    </w:p>
    <w:p>
      <w:pPr>
        <w:ind w:left="567"/>
      </w:pPr>
      <w:r>
        <w:rPr>
          <w:i/>
        </w:rPr>
        <w:t>Vielen Dank für Ihr Vertrauen. Wir schreiben Ihnen wegen des Bescheids vom Jobcenter Berlin-Lichtenberg. Diesen Bescheid haben Sie am 3. Mai 2026 erhalten.</w:t>
      </w:r>
    </w:p>
    <w:p>
      <w:pPr>
        <w:ind w:left="567"/>
      </w:pPr>
      <w:r>
        <w:rPr>
          <w:i/>
        </w:rPr>
        <w:t>Wortzahl: 24, in drei Hauptsätzen. Aktenzeichen weggelassen, weil im Briefkopf bereits genannt.</w:t>
      </w:r>
    </w:p>
    <w:p>
      <w:pPr>
        <w:jc w:val="left"/>
      </w:pPr>
      <w:r>
        <w:rPr>
          <w:b/>
        </w:rPr>
        <w:t>Leichte Sprache:</w:t>
      </w:r>
    </w:p>
    <w:p>
      <w:pPr>
        <w:ind w:left="567"/>
      </w:pPr>
      <w:r>
        <w:rPr>
          <w:i/>
        </w:rPr>
        <w:t>Sie haben einen Brief vom Jobcenter bekommen.</w:t>
      </w:r>
    </w:p>
    <w:p>
      <w:pPr>
        <w:ind w:left="567"/>
      </w:pPr>
    </w:p>
    <w:p>
      <w:pPr>
        <w:ind w:left="567"/>
      </w:pPr>
      <w:r>
        <w:rPr>
          <w:i/>
        </w:rPr>
        <w:t>Dieser Brief heißt Bescheid.</w:t>
      </w:r>
    </w:p>
    <w:p>
      <w:pPr>
        <w:ind w:left="567"/>
      </w:pPr>
    </w:p>
    <w:p>
      <w:pPr>
        <w:ind w:left="567"/>
      </w:pPr>
      <w:r>
        <w:rPr>
          <w:i/>
        </w:rPr>
        <w:t>Der Bescheid ist vom 28. April 2026.</w:t>
      </w:r>
    </w:p>
    <w:p>
      <w:pPr>
        <w:ind w:left="567"/>
      </w:pPr>
    </w:p>
    <w:p>
      <w:pPr>
        <w:ind w:left="567"/>
      </w:pPr>
      <w:r>
        <w:rPr>
          <w:i/>
        </w:rPr>
        <w:t>Sie haben den Brief am 3. Mai 2026 bekommen.</w:t>
      </w:r>
    </w:p>
    <w:p>
      <w:pPr>
        <w:ind w:left="567"/>
      </w:pPr>
      <w:r>
        <w:rPr>
          <w:i/>
        </w:rPr>
        <w:t>Vier kurze Sätze. Begriff "Bescheid" wird in zweiter Zeile eingeführt und erklärt. Aktenzeichen ganz weggelassen.</w:t>
      </w:r>
    </w:p>
    <w:p>
      <w:pPr>
        <w:pStyle w:val="Heading3"/>
      </w:pPr>
      <w:r>
        <w:rPr>
          <w:rFonts w:ascii="Times New Roman" w:hAnsi="Times New Roman"/>
        </w:rPr>
        <w:t>Beispiel 2 -- Erklärung Rechtslage</w:t>
      </w:r>
    </w:p>
    <w:p>
      <w:pPr>
        <w:jc w:val="left"/>
      </w:pPr>
      <w:r>
        <w:rPr>
          <w:b/>
        </w:rPr>
        <w:t>Schwer (Original):</w:t>
      </w:r>
    </w:p>
    <w:p>
      <w:pPr>
        <w:ind w:left="567"/>
      </w:pPr>
      <w:r>
        <w:rPr>
          <w:i/>
        </w:rPr>
        <w:t>Nach § 22 Abs. 1 SGB II sind Bedarfe für Unterkunft und Heizung in Höhe der tatsächlichen Aufwendungen anzuerkennen, soweit diese angemessen sind. Das Bundessozialgericht hat entschieden, dass bei fehlendem schlüssigem Konzept die tatsächlichen Kosten zu übernehmen sind (BSG, Urt. v. 30.01.2019, B 14 AS 11/18 R; BSG, Urt. v. 16.06.2015, B 4 AS 44/14 R).</w:t>
      </w:r>
    </w:p>
    <w:p>
      <w:pPr>
        <w:ind w:left="567"/>
      </w:pPr>
      <w:r>
        <w:rPr>
          <w:i/>
        </w:rPr>
        <w:t>Wortzahl: 49. Zwei Normverweise, zwei BSG-Urteile mit Aktenzeichen, Fachbegriff "schlüssiges Konzept".</w:t>
      </w:r>
    </w:p>
    <w:p>
      <w:pPr>
        <w:jc w:val="left"/>
      </w:pPr>
      <w:r>
        <w:rPr>
          <w:b/>
        </w:rPr>
        <w:t>Einfache Sprache:</w:t>
      </w:r>
    </w:p>
    <w:p>
      <w:pPr>
        <w:ind w:left="567"/>
      </w:pPr>
      <w:r>
        <w:rPr>
          <w:i/>
        </w:rPr>
        <w:t>Nach dem Sozialgesetzbuch (SGB II, § 22) müssen die tatsächlichen Wohnkosten übernommen werden -- soweit sie angemessen sind. Das Bundessozialgericht hat außerdem entschieden: Wenn das Jobcenter keine klare Berechnung vorlegen kann, muss es die tatsächlichen Kosten zahlen. Eine einmalige Nachzahlung bei den Heizkosten muss nach dem Gesetz zusätzlich übernommen werden.</w:t>
      </w:r>
    </w:p>
    <w:p>
      <w:pPr>
        <w:ind w:left="567"/>
      </w:pPr>
      <w:r>
        <w:rPr>
          <w:i/>
        </w:rPr>
        <w:t>Wortzahl: 49 in drei Sätzen. Normverweis als § 22 SGB II eingebaut, ohne Absatz. Begriff "schlüssiges Konzept" ersetzt durch "klare Berechnung". BSG-Aktenzeichen weggelassen.</w:t>
      </w:r>
    </w:p>
    <w:p>
      <w:pPr>
        <w:jc w:val="left"/>
      </w:pPr>
      <w:r>
        <w:rPr>
          <w:b/>
        </w:rPr>
        <w:t>Leichte Sprache:</w:t>
      </w:r>
    </w:p>
    <w:p>
      <w:pPr>
        <w:ind w:left="567"/>
      </w:pPr>
      <w:r>
        <w:rPr>
          <w:i/>
        </w:rPr>
        <w:t>Das Jobcenter hat die Unterlagen nicht richtig geprüft.</w:t>
      </w:r>
    </w:p>
    <w:p>
      <w:pPr>
        <w:ind w:left="567"/>
      </w:pPr>
    </w:p>
    <w:p>
      <w:pPr>
        <w:ind w:left="567"/>
      </w:pPr>
      <w:r>
        <w:rPr>
          <w:i/>
        </w:rPr>
        <w:t>Das Jobcenter hat zu wenig Geld gezahlt.</w:t>
      </w:r>
    </w:p>
    <w:p>
      <w:pPr>
        <w:ind w:left="567"/>
      </w:pPr>
    </w:p>
    <w:p>
      <w:pPr>
        <w:ind w:left="567"/>
      </w:pPr>
      <w:r>
        <w:rPr>
          <w:i/>
        </w:rPr>
        <w:t>Außerdem: Sie hatten eine Nachzahlung für die Heizung. Das Jobcenter hat diese Nachzahlung nicht bezahlt.</w:t>
      </w:r>
    </w:p>
    <w:p>
      <w:pPr>
        <w:ind w:left="567"/>
      </w:pPr>
    </w:p>
    <w:p>
      <w:pPr>
        <w:ind w:left="567"/>
      </w:pPr>
      <w:r>
        <w:rPr>
          <w:i/>
        </w:rPr>
        <w:t>Das ist falsch.</w:t>
      </w:r>
    </w:p>
    <w:p>
      <w:pPr>
        <w:ind w:left="567"/>
      </w:pPr>
      <w:r>
        <w:rPr>
          <w:i/>
        </w:rPr>
        <w:t>Sechs kurze Sätze. Komplette Norm- und Urteilsverweise weggelassen. Aussage statt Begründung. Diese Verkürzung birgt das Risiko, dass die juristische Substanz nicht mehr nachvollziehbar ist; dafür ist die Verständlichkeit für die Zielgruppe wesentlich höher.</w:t>
      </w:r>
    </w:p>
    <w:p>
      <w:pPr>
        <w:pStyle w:val="Heading3"/>
      </w:pPr>
      <w:r>
        <w:rPr>
          <w:rFonts w:ascii="Times New Roman" w:hAnsi="Times New Roman"/>
        </w:rPr>
        <w:t>Beispiel 3 -- Rechtsfolge Bestandskraft</w:t>
      </w:r>
    </w:p>
    <w:p>
      <w:pPr>
        <w:jc w:val="left"/>
      </w:pPr>
      <w:r>
        <w:rPr>
          <w:b/>
        </w:rPr>
        <w:t>Schwer (Original):</w:t>
      </w:r>
    </w:p>
    <w:p>
      <w:pPr>
        <w:ind w:left="567"/>
      </w:pPr>
      <w:r>
        <w:rPr>
          <w:i/>
        </w:rPr>
        <w:t>Wird die Frist versäumt, erwächst der Bescheid in Bestandskraft (§ 77 SGG). Eine Wiedereinsetzung in den vorigen Stand (§ 27 SGB X) ist nur unter strengen Voraussetzungen möglich.</w:t>
      </w:r>
    </w:p>
    <w:p>
      <w:pPr>
        <w:ind w:left="567"/>
      </w:pPr>
      <w:r>
        <w:rPr>
          <w:i/>
        </w:rPr>
        <w:t>Wortzahl: 25. Fachbegriffe "erwächst", "Bestandskraft", "Wiedereinsetzung", zwei Normverweise.</w:t>
      </w:r>
    </w:p>
    <w:p>
      <w:pPr>
        <w:jc w:val="left"/>
      </w:pPr>
      <w:r>
        <w:rPr>
          <w:b/>
        </w:rPr>
        <w:t>Einfache Sprache:</w:t>
      </w:r>
    </w:p>
    <w:p>
      <w:pPr>
        <w:ind w:left="567"/>
      </w:pPr>
      <w:r>
        <w:rPr>
          <w:i/>
        </w:rPr>
        <w:t>Wenn die Frist verstreicht, ohne dass Widerspruch eingelegt wurde, wird der Bescheid bestandskräftig. Das bedeutet: Die Entscheidung des Jobcenters gilt dann als endgültig. Es gibt nur sehr wenige Ausnahmen, um eine versäumte Frist nachträglich zu retten -- und die Bedingungen dafür sind streng.</w:t>
      </w:r>
    </w:p>
    <w:p>
      <w:pPr>
        <w:ind w:left="567"/>
      </w:pPr>
      <w:r>
        <w:rPr>
          <w:i/>
        </w:rPr>
        <w:t>Wortzahl: 44 in drei Sätzen. Begriff "Bestandskraft" beibehalten, aber im Folgesatz erklärt. "Wiedereinsetzung" ersetzt durch "Frist nachträglich retten".</w:t>
      </w:r>
    </w:p>
    <w:p>
      <w:pPr>
        <w:jc w:val="left"/>
      </w:pPr>
      <w:r>
        <w:rPr>
          <w:b/>
        </w:rPr>
        <w:t>Leichte Sprache:</w:t>
      </w:r>
    </w:p>
    <w:p>
      <w:pPr>
        <w:ind w:left="567"/>
      </w:pPr>
      <w:r>
        <w:rPr>
          <w:i/>
        </w:rPr>
        <w:t>Wenn die Frist vorbei ist:</w:t>
      </w:r>
    </w:p>
    <w:p>
      <w:pPr>
        <w:ind w:left="567"/>
      </w:pPr>
    </w:p>
    <w:p>
      <w:pPr>
        <w:ind w:left="567"/>
      </w:pPr>
      <w:r>
        <w:rPr>
          <w:i/>
        </w:rPr>
        <w:t>Der Bescheid wird endgültig.</w:t>
      </w:r>
    </w:p>
    <w:p>
      <w:pPr>
        <w:ind w:left="567"/>
      </w:pPr>
    </w:p>
    <w:p>
      <w:pPr>
        <w:ind w:left="567"/>
      </w:pPr>
      <w:r>
        <w:rPr>
          <w:i/>
        </w:rPr>
        <w:t>Dann ist es schwer, noch etwas zu ändern.</w:t>
      </w:r>
    </w:p>
    <w:p>
      <w:pPr>
        <w:ind w:left="567"/>
      </w:pPr>
      <w:r>
        <w:rPr>
          <w:i/>
        </w:rPr>
        <w:t>Drei kurze Sätze. Beide Fachbegriffe weggelassen, durch alltagssprachliche Beschreibung ersetzt.</w:t>
      </w:r>
    </w:p>
    <w:p>
      <w:pPr>
        <w:pStyle w:val="Heading2"/>
      </w:pPr>
      <w:r>
        <w:rPr>
          <w:rFonts w:ascii="Times New Roman" w:hAnsi="Times New Roman"/>
        </w:rPr>
        <w:t>Wesentliche Vereinfachungsentscheidungen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Entscheidung</w:t>
            </w:r>
          </w:p>
        </w:tc>
        <w:tc>
          <w:tcPr>
            <w:tcW w:type="dxa" w:w="3024"/>
          </w:tcPr>
          <w:p>
            <w:r>
              <w:rPr>
                <w:rFonts w:ascii="Times New Roman" w:hAnsi="Times New Roman"/>
                <w:b/>
                <w:sz w:val="20"/>
              </w:rPr>
              <w:t>Begründung</w:t>
            </w:r>
          </w:p>
        </w:tc>
        <w:tc>
          <w:tcPr>
            <w:tcW w:type="dxa" w:w="3024"/>
          </w:tcPr>
          <w:p>
            <w:r>
              <w:rPr>
                <w:rFonts w:ascii="Times New Roman" w:hAnsi="Times New Roman"/>
                <w:b/>
                <w:sz w:val="20"/>
              </w:rPr>
              <w:t>Risiko</w:t>
            </w:r>
          </w:p>
        </w:tc>
      </w:tr>
      <w:tr>
        <w:tc>
          <w:tcPr>
            <w:tcW w:type="dxa" w:w="3024"/>
          </w:tcPr>
          <w:p>
            <w:r>
              <w:rPr>
                <w:rFonts w:ascii="Times New Roman" w:hAnsi="Times New Roman"/>
                <w:sz w:val="20"/>
              </w:rPr>
              <w:t>Aktenzeichen JC-LB-2026-00814-KdU weggelassen in Einfacher/Leichter Sprache</w:t>
            </w:r>
          </w:p>
        </w:tc>
        <w:tc>
          <w:tcPr>
            <w:tcW w:type="dxa" w:w="3024"/>
          </w:tcPr>
          <w:p>
            <w:r>
              <w:rPr>
                <w:rFonts w:ascii="Times New Roman" w:hAnsi="Times New Roman"/>
                <w:sz w:val="20"/>
              </w:rPr>
              <w:t>für Mandantin nicht hilfreich, da sie keine eigenen Recherchen anstellt</w:t>
            </w:r>
          </w:p>
        </w:tc>
        <w:tc>
          <w:tcPr>
            <w:tcW w:type="dxa" w:w="3024"/>
          </w:tcPr>
          <w:p>
            <w:r>
              <w:rPr>
                <w:rFonts w:ascii="Times New Roman" w:hAnsi="Times New Roman"/>
                <w:sz w:val="20"/>
              </w:rPr>
              <w:t>Information geht verloren -- aber im Briefkopf vorhanden</w:t>
            </w:r>
          </w:p>
        </w:tc>
      </w:tr>
      <w:tr>
        <w:tc>
          <w:tcPr>
            <w:tcW w:type="dxa" w:w="3024"/>
          </w:tcPr>
          <w:p>
            <w:r>
              <w:rPr>
                <w:rFonts w:ascii="Times New Roman" w:hAnsi="Times New Roman"/>
                <w:sz w:val="20"/>
              </w:rPr>
              <w:t>BSG-Urteile mit Aktenzeichen ausgelassen</w:t>
            </w:r>
          </w:p>
        </w:tc>
        <w:tc>
          <w:tcPr>
            <w:tcW w:type="dxa" w:w="3024"/>
          </w:tcPr>
          <w:p>
            <w:r>
              <w:rPr>
                <w:rFonts w:ascii="Times New Roman" w:hAnsi="Times New Roman"/>
                <w:sz w:val="20"/>
              </w:rPr>
              <w:t>nicht handlungsrelevant für Mandantin</w:t>
            </w:r>
          </w:p>
        </w:tc>
        <w:tc>
          <w:tcPr>
            <w:tcW w:type="dxa" w:w="3024"/>
          </w:tcPr>
          <w:p>
            <w:r>
              <w:rPr>
                <w:rFonts w:ascii="Times New Roman" w:hAnsi="Times New Roman"/>
                <w:sz w:val="20"/>
              </w:rPr>
              <w:t>juristische Begründung weniger nachvollziehbar</w:t>
            </w:r>
          </w:p>
        </w:tc>
      </w:tr>
      <w:tr>
        <w:tc>
          <w:tcPr>
            <w:tcW w:type="dxa" w:w="3024"/>
          </w:tcPr>
          <w:p>
            <w:r>
              <w:rPr>
                <w:rFonts w:ascii="Times New Roman" w:hAnsi="Times New Roman"/>
                <w:sz w:val="20"/>
              </w:rPr>
              <w:t>Begriff "schlüssiges Konzept" ersetzt durch "klare Berechnung"</w:t>
            </w:r>
          </w:p>
        </w:tc>
        <w:tc>
          <w:tcPr>
            <w:tcW w:type="dxa" w:w="3024"/>
          </w:tcPr>
          <w:p>
            <w:r>
              <w:rPr>
                <w:rFonts w:ascii="Times New Roman" w:hAnsi="Times New Roman"/>
                <w:sz w:val="20"/>
              </w:rPr>
              <w:t>etablierter Fachbegriff der Sozialgerichtsbarkeit -- Mandantin kennt ihn nicht</w:t>
            </w:r>
          </w:p>
        </w:tc>
        <w:tc>
          <w:tcPr>
            <w:tcW w:type="dxa" w:w="3024"/>
          </w:tcPr>
          <w:p>
            <w:r>
              <w:rPr>
                <w:rFonts w:ascii="Times New Roman" w:hAnsi="Times New Roman"/>
                <w:sz w:val="20"/>
              </w:rPr>
              <w:t>Anwältin muss bei Folgegespräch ggf. erklären</w:t>
            </w:r>
          </w:p>
        </w:tc>
      </w:tr>
      <w:tr>
        <w:tc>
          <w:tcPr>
            <w:tcW w:type="dxa" w:w="3024"/>
          </w:tcPr>
          <w:p>
            <w:r>
              <w:rPr>
                <w:rFonts w:ascii="Times New Roman" w:hAnsi="Times New Roman"/>
                <w:sz w:val="20"/>
              </w:rPr>
              <w:t>§ 27 SGB X (Wiedereinsetzung) komplett weggelassen in Leichter Sprache</w:t>
            </w:r>
          </w:p>
        </w:tc>
        <w:tc>
          <w:tcPr>
            <w:tcW w:type="dxa" w:w="3024"/>
          </w:tcPr>
          <w:p>
            <w:r>
              <w:rPr>
                <w:rFonts w:ascii="Times New Roman" w:hAnsi="Times New Roman"/>
                <w:sz w:val="20"/>
              </w:rPr>
              <w:t>für Zielgruppe abstrakt, im Einzelfall durch Anwältin erklärbar</w:t>
            </w:r>
          </w:p>
        </w:tc>
        <w:tc>
          <w:tcPr>
            <w:tcW w:type="dxa" w:w="3024"/>
          </w:tcPr>
          <w:p>
            <w:r>
              <w:rPr>
                <w:rFonts w:ascii="Times New Roman" w:hAnsi="Times New Roman"/>
                <w:sz w:val="20"/>
              </w:rPr>
              <w:t>Information geht verloren, aber bewusst</w:t>
            </w:r>
          </w:p>
        </w:tc>
      </w:tr>
      <w:tr>
        <w:tc>
          <w:tcPr>
            <w:tcW w:type="dxa" w:w="3024"/>
          </w:tcPr>
          <w:p>
            <w:r>
              <w:rPr>
                <w:rFonts w:ascii="Times New Roman" w:hAnsi="Times New Roman"/>
                <w:sz w:val="20"/>
              </w:rPr>
              <w:t>Kostenhinweis vereinfacht</w:t>
            </w:r>
          </w:p>
        </w:tc>
        <w:tc>
          <w:tcPr>
            <w:tcW w:type="dxa" w:w="3024"/>
          </w:tcPr>
          <w:p>
            <w:r>
              <w:rPr>
                <w:rFonts w:ascii="Times New Roman" w:hAnsi="Times New Roman"/>
                <w:sz w:val="20"/>
              </w:rPr>
              <w:t>Beratungshilfe-Verfahren ist komplex</w:t>
            </w:r>
          </w:p>
        </w:tc>
        <w:tc>
          <w:tcPr>
            <w:tcW w:type="dxa" w:w="3024"/>
          </w:tcPr>
          <w:p>
            <w:r>
              <w:rPr>
                <w:rFonts w:ascii="Times New Roman" w:hAnsi="Times New Roman"/>
                <w:sz w:val="20"/>
              </w:rPr>
              <w:t>Mandantin muss ggf. selbst zum Amtsgericht; in Brief 4 wird das ausführlicher erklärt</w:t>
            </w:r>
          </w:p>
        </w:tc>
      </w:tr>
      <w:tr>
        <w:tc>
          <w:tcPr>
            <w:tcW w:type="dxa" w:w="3024"/>
          </w:tcPr>
          <w:p>
            <w:r>
              <w:rPr>
                <w:rFonts w:ascii="Times New Roman" w:hAnsi="Times New Roman"/>
                <w:sz w:val="20"/>
              </w:rPr>
              <w:t>Telefonnummer der Kanzlei in Leichter Sprache eingefügt</w:t>
            </w:r>
          </w:p>
        </w:tc>
        <w:tc>
          <w:tcPr>
            <w:tcW w:type="dxa" w:w="3024"/>
          </w:tcPr>
          <w:p>
            <w:r>
              <w:rPr>
                <w:rFonts w:ascii="Times New Roman" w:hAnsi="Times New Roman"/>
                <w:sz w:val="20"/>
              </w:rPr>
              <w:t>Mandantin telefoniert lieber als zu schreiben</w:t>
            </w:r>
          </w:p>
        </w:tc>
        <w:tc>
          <w:tcPr>
            <w:tcW w:type="dxa" w:w="3024"/>
          </w:tcPr>
          <w:p>
            <w:r>
              <w:rPr>
                <w:rFonts w:ascii="Times New Roman" w:hAnsi="Times New Roman"/>
                <w:sz w:val="20"/>
              </w:rPr>
              <w:t>--</w:t>
            </w:r>
          </w:p>
        </w:tc>
      </w:tr>
    </w:tbl>
    <w:p>
      <w:pPr>
        <w:pStyle w:val="Heading2"/>
      </w:pPr>
      <w:r>
        <w:rPr>
          <w:rFonts w:ascii="Times New Roman" w:hAnsi="Times New Roman"/>
        </w:rPr>
        <w:t>Empfehlungen für die Zielgruppenprüfung</w:t>
      </w:r>
    </w:p>
    <w:p>
      <w:pPr>
        <w:jc w:val="left"/>
      </w:pPr>
      <w:r>
        <w:t xml:space="preserve">Vor Versand der Leichte-Sprache-Fassung wird </w:t>
      </w:r>
      <w:r>
        <w:rPr>
          <w:b/>
        </w:rPr>
        <w:t>Prüfung durch Menschen aus der Zielgruppe</w:t>
      </w:r>
      <w:r>
        <w:t xml:space="preserve"> empfohlen (Regelwerk Netzwerk Leichte Sprache). Diese Prüfung ist in der vorliegenden Akte </w:t>
      </w:r>
      <w:r>
        <w:rPr>
          <w:b/>
        </w:rPr>
        <w:t>nicht erfolgt</w:t>
      </w:r>
      <w:r>
        <w:t>.</w:t>
      </w:r>
    </w:p>
    <w:p>
      <w:pPr>
        <w:jc w:val="left"/>
      </w:pPr>
      <w:r>
        <w:t>Konkrete Prüf-Anweisung an die Zielgruppe könnte lauten:</w:t>
      </w:r>
    </w:p>
    <w:p>
      <w:pPr>
        <w:pStyle w:val="ListNumber"/>
      </w:pPr>
      <w:r>
        <w:t>Lies den Brief.</w:t>
      </w:r>
    </w:p>
    <w:p>
      <w:pPr>
        <w:pStyle w:val="ListNumber"/>
      </w:pPr>
      <w:r>
        <w:t>Was möchtest Du jetzt tun?</w:t>
      </w:r>
    </w:p>
    <w:p>
      <w:pPr>
        <w:pStyle w:val="ListNumber"/>
      </w:pPr>
      <w:r>
        <w:t>Bis wann musst Du Dich melden?</w:t>
      </w:r>
    </w:p>
    <w:p>
      <w:pPr>
        <w:pStyle w:val="ListNumber"/>
      </w:pPr>
      <w:r>
        <w:t>Was passiert, wenn Du nichts machst?</w:t>
      </w:r>
    </w:p>
    <w:p>
      <w:pPr>
        <w:pStyle w:val="ListNumber"/>
      </w:pPr>
      <w:r>
        <w:t>Kostet das etwas?</w:t>
      </w:r>
    </w:p>
    <w:p>
      <w:pPr>
        <w:jc w:val="left"/>
      </w:pPr>
      <w:r>
        <w:t>Wer alle fünf Fragen aus dem Text richtig beantworten kann, hat den Brief verstanden. Wenn auch nur eine Frage offen bleibt, muss der Brief überarbeitet werden.</w:t>
      </w:r>
    </w:p>
    <w:p>
      <w:pPr>
        <w:pStyle w:val="Heading2"/>
      </w:pPr>
      <w:r>
        <w:rPr>
          <w:rFonts w:ascii="Times New Roman" w:hAnsi="Times New Roman"/>
        </w:rPr>
        <w:t>Honorar und Aufwand</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Aufwand</w:t>
            </w:r>
          </w:p>
        </w:tc>
        <w:tc>
          <w:tcPr>
            <w:tcW w:type="dxa" w:w="3024"/>
          </w:tcPr>
          <w:p>
            <w:r>
              <w:rPr>
                <w:rFonts w:ascii="Times New Roman" w:hAnsi="Times New Roman"/>
                <w:b/>
                <w:sz w:val="20"/>
              </w:rPr>
              <w:t>Hinweis</w:t>
            </w:r>
          </w:p>
        </w:tc>
      </w:tr>
      <w:tr>
        <w:tc>
          <w:tcPr>
            <w:tcW w:type="dxa" w:w="3024"/>
          </w:tcPr>
          <w:p>
            <w:r>
              <w:rPr>
                <w:rFonts w:ascii="Times New Roman" w:hAnsi="Times New Roman"/>
                <w:sz w:val="20"/>
              </w:rPr>
              <w:t>Original-Mandantenbrief erstellen</w:t>
            </w:r>
          </w:p>
        </w:tc>
        <w:tc>
          <w:tcPr>
            <w:tcW w:type="dxa" w:w="3024"/>
          </w:tcPr>
          <w:p>
            <w:r>
              <w:rPr>
                <w:rFonts w:ascii="Times New Roman" w:hAnsi="Times New Roman"/>
                <w:sz w:val="20"/>
              </w:rPr>
              <w:t>ca. 60 Minuten</w:t>
            </w:r>
          </w:p>
        </w:tc>
        <w:tc>
          <w:tcPr>
            <w:tcW w:type="dxa" w:w="3024"/>
          </w:tcPr>
          <w:p>
            <w:r>
              <w:rPr>
                <w:rFonts w:ascii="Times New Roman" w:hAnsi="Times New Roman"/>
                <w:sz w:val="20"/>
              </w:rPr>
              <w:t>übliche RVG-Vergütung</w:t>
            </w:r>
          </w:p>
        </w:tc>
      </w:tr>
      <w:tr>
        <w:tc>
          <w:tcPr>
            <w:tcW w:type="dxa" w:w="3024"/>
          </w:tcPr>
          <w:p>
            <w:r>
              <w:rPr>
                <w:rFonts w:ascii="Times New Roman" w:hAnsi="Times New Roman"/>
                <w:sz w:val="20"/>
              </w:rPr>
              <w:t>Übersetzung Einfache Sprache</w:t>
            </w:r>
          </w:p>
        </w:tc>
        <w:tc>
          <w:tcPr>
            <w:tcW w:type="dxa" w:w="3024"/>
          </w:tcPr>
          <w:p>
            <w:r>
              <w:rPr>
                <w:rFonts w:ascii="Times New Roman" w:hAnsi="Times New Roman"/>
                <w:sz w:val="20"/>
              </w:rPr>
              <w:t>ca. 45 Minuten</w:t>
            </w:r>
          </w:p>
        </w:tc>
        <w:tc>
          <w:tcPr>
            <w:tcW w:type="dxa" w:w="3024"/>
          </w:tcPr>
          <w:p>
            <w:r>
              <w:rPr>
                <w:rFonts w:ascii="Times New Roman" w:hAnsi="Times New Roman"/>
                <w:sz w:val="20"/>
              </w:rPr>
              <w:t>Mehraufwand, in dieser Kanzlei intern als "Service" für betreute Mandanten</w:t>
            </w:r>
          </w:p>
        </w:tc>
      </w:tr>
      <w:tr>
        <w:tc>
          <w:tcPr>
            <w:tcW w:type="dxa" w:w="3024"/>
          </w:tcPr>
          <w:p>
            <w:r>
              <w:rPr>
                <w:rFonts w:ascii="Times New Roman" w:hAnsi="Times New Roman"/>
                <w:sz w:val="20"/>
              </w:rPr>
              <w:t>Übersetzung Leichte Sprache</w:t>
            </w:r>
          </w:p>
        </w:tc>
        <w:tc>
          <w:tcPr>
            <w:tcW w:type="dxa" w:w="3024"/>
          </w:tcPr>
          <w:p>
            <w:r>
              <w:rPr>
                <w:rFonts w:ascii="Times New Roman" w:hAnsi="Times New Roman"/>
                <w:sz w:val="20"/>
              </w:rPr>
              <w:t>ca. 90 Minuten</w:t>
            </w:r>
          </w:p>
        </w:tc>
        <w:tc>
          <w:tcPr>
            <w:tcW w:type="dxa" w:w="3024"/>
          </w:tcPr>
          <w:p>
            <w:r>
              <w:rPr>
                <w:rFonts w:ascii="Times New Roman" w:hAnsi="Times New Roman"/>
                <w:sz w:val="20"/>
              </w:rPr>
              <w:t>erheblicher Mehraufwand; Honorarvereinbarung empfohlen, sofern kein BGG-/BITV-Pflichtfall</w:t>
            </w:r>
          </w:p>
        </w:tc>
      </w:tr>
      <w:tr>
        <w:tc>
          <w:tcPr>
            <w:tcW w:type="dxa" w:w="3024"/>
          </w:tcPr>
          <w:p>
            <w:r>
              <w:rPr>
                <w:rFonts w:ascii="Times New Roman" w:hAnsi="Times New Roman"/>
                <w:sz w:val="20"/>
              </w:rPr>
              <w:t>Zielgruppenprüfung Leichte Sprache</w:t>
            </w:r>
          </w:p>
        </w:tc>
        <w:tc>
          <w:tcPr>
            <w:tcW w:type="dxa" w:w="3024"/>
          </w:tcPr>
          <w:p>
            <w:r>
              <w:rPr>
                <w:rFonts w:ascii="Times New Roman" w:hAnsi="Times New Roman"/>
                <w:sz w:val="20"/>
              </w:rPr>
              <w:t>ca. 45 Minuten Begleitung durch Anwalt + 60 Minuten Prüfer-Einsatz</w:t>
            </w:r>
          </w:p>
        </w:tc>
        <w:tc>
          <w:tcPr>
            <w:tcW w:type="dxa" w:w="3024"/>
          </w:tcPr>
          <w:p>
            <w:r>
              <w:rPr>
                <w:rFonts w:ascii="Times New Roman" w:hAnsi="Times New Roman"/>
                <w:sz w:val="20"/>
              </w:rPr>
              <w:t>nicht im Beratungshilfehonorar enthalten</w:t>
            </w:r>
          </w:p>
        </w:tc>
      </w:tr>
    </w:tbl>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Vergleichsgegenstand: Mandantenbrief zur Heizkostenkürzung Jobcenter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Vergleichsgegenstand: Mandantenbrief zur Heizkostenkürzung Jobcenter</w:t>
    </w:r>
  </w:p>
  <w:p>
    <w:pPr>
      <w:jc w:val="left"/>
      <w:pBdr>
        <w:bottom w:val="single" w:sz="6" w:space="2" w:color="3B3F45"/>
      </w:pBdr>
    </w:pPr>
    <w:r>
      <w:rPr>
        <w:rFonts w:ascii="Times New Roman" w:hAnsi="Times New Roman"/>
        <w:color w:val="6B6B66"/>
        <w:sz w:val="16"/>
      </w:rPr>
      <w:t>Behörde · Aktenzeichen mitten im Satz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