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Aktenvermerk Nr. 2024-001 – Erstgespräch Stadtwerke Klotzkette AG</w:t>
      </w:r>
    </w:p>
    <w:p>
      <w:pPr>
        <w:ind w:left="567"/>
      </w:pPr>
      <w:r>
        <w:rPr>
          <w:b/>
          <w:i/>
        </w:rPr>
        <w:t>Kanzlei Bernauer &amp; Partnerinnen, Rechtsanwältinnen und Rechtsanwälte</w:t>
      </w:r>
    </w:p>
    <w:p>
      <w:pPr>
        <w:ind w:left="567"/>
      </w:pPr>
      <w:r>
        <w:rPr>
          <w:i/>
        </w:rPr>
        <w:t>Energierecht · Infrastrukturrecht · Gesellschaftsrecht</w:t>
      </w:r>
    </w:p>
    <w:p>
      <w:pPr>
        <w:ind w:left="567"/>
      </w:pPr>
      <w:r>
        <w:rPr>
          <w:i/>
        </w:rPr>
        <w:t>Karlsplatz 7, 48143 Münster</w:t>
      </w:r>
    </w:p>
    <w:p>
      <w:pPr>
        <w:ind w:left="567"/>
      </w:pPr>
      <w:r>
        <w:rPr>
          <w:i/>
        </w:rPr>
        <w:t>Tel. 0251 / 39 81 40-0 · bernauer@kanzlei-bernauer.de</w:t>
      </w:r>
    </w:p>
    <w:p/>
    <w:p>
      <w:pPr>
        <w:jc w:val="left"/>
      </w:pPr>
      <w:r>
        <w:rPr>
          <w:b/>
        </w:rPr>
        <w:t>Aktenvermerk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Aktenzeichen: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SWK/ENR/2024-047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Datum: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 März 2024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Verfasser: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RA Thomas Bernauer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Adressat: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Interne Akte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Betreff: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Erstgespräch Mandant Stadtwerke Klotzkette AG – Projekt Hafenbogen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Gesprächsort: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Videokonferenz (MS Teams)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Gesprächsdauer: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90 Minuten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Teilnehmende: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Dr. Gerda Wohlfahrt (Vorstandsvorsitzende SWKK), Dipl.-Ing. Heinrich Seltmann (Leiter Netze und Projektentwicklung, SWKK), RA Thomas Bernauer, RAin Monika Freitag-Sauermann (Kanzlei Bernauer)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1. Sachverhaltsaufnahme</w:t>
      </w:r>
    </w:p>
    <w:p>
      <w:pPr>
        <w:pStyle w:val="Heading3"/>
      </w:pPr>
      <w:r>
        <w:rPr>
          <w:rFonts w:ascii="Times New Roman" w:hAnsi="Times New Roman"/>
        </w:rPr>
        <w:t>1.1 Mandant und Ausgangslage</w:t>
      </w:r>
    </w:p>
    <w:p>
      <w:pPr>
        <w:jc w:val="left"/>
      </w:pPr>
      <w:r>
        <w:t xml:space="preserve">Die </w:t>
      </w:r>
      <w:r>
        <w:rPr>
          <w:b/>
        </w:rPr>
        <w:t>Stadtwerke Klotzkette AG</w:t>
      </w:r>
      <w:r>
        <w:t xml:space="preserve"> (SWKK) ist ein kommunales Energieversorgungsunternehmen mit Sitz in Lüdinghausen (NRW), im Mehrheits­besitz der Stadt Lüdinghausen (75,1 % Anteil). Das Unternehmen betreibt Strom- und Gasverteil­netze im Stadtgebiet sowie zwei Nahwärme­netze (Altstadt und Gewerbegebiet Ost) und beschäftigt rund 280 Mitarbeiter.</w:t>
      </w:r>
    </w:p>
    <w:p>
      <w:pPr>
        <w:jc w:val="left"/>
      </w:pPr>
      <w:r>
        <w:t>Frau Dr. Wohlfahrt schildert das Projekt "Hafenbogen" als strategisches Vorhaben, das die SWKK sowohl als Netz­betreiber als auch als Energie­dienstleister positionieren soll. Das Projekt verbinde erstmals alle Säulen der Energie­wende in einem einzigen Quartier: Wärme, Strom, Speicher, Mobilität. Ausdrücklich betont sie, dass das Projekt auch Signal­wirkung für den Stadtrat haben soll, der im Herbst 2024 über den Haushalt entscheidet.</w:t>
      </w:r>
    </w:p>
    <w:p>
      <w:pPr>
        <w:jc w:val="left"/>
      </w:pPr>
      <w:r>
        <w:t>Herr Seltmann erläutert die technische Ausgangslage: Das Quartier­areal (4,2 ha) war bis 2019 Güter­umschlagplatz der DB. Der Erb­baurechts­vertrag mit der DB Netz AG befindet sich in der Finalisierung; die SWKK geht von einem Abschluss bis Q2 2024 aus. Bau­beginn ist für Q3 2026 geplant.</w:t>
      </w:r>
    </w:p>
    <w:p>
      <w:pPr>
        <w:pStyle w:val="Heading3"/>
      </w:pPr>
      <w:r>
        <w:rPr>
          <w:rFonts w:ascii="Times New Roman" w:hAnsi="Times New Roman"/>
        </w:rPr>
        <w:t>1.2 Projektziele laut Mandant</w:t>
      </w:r>
    </w:p>
    <w:p>
      <w:pPr>
        <w:jc w:val="left"/>
      </w:pPr>
      <w:r>
        <w:t>Der Mandant nennt folgende Hauptziele:</w:t>
      </w:r>
    </w:p>
    <w:p>
      <w:pPr>
        <w:pStyle w:val="ListNumber"/>
      </w:pPr>
      <w:r>
        <w:rPr>
          <w:b/>
        </w:rPr>
        <w:t>Vollversorgung mit erneuerbarer Nah­wärme</w:t>
      </w:r>
      <w:r>
        <w:t xml:space="preserve"> für alle 380 Wohneinheiten und 22 Gewerbe­flächen; kein fossiles Heizung in den Gebäuden.</w:t>
      </w:r>
    </w:p>
    <w:p>
      <w:pPr>
        <w:pStyle w:val="ListNumber"/>
      </w:pPr>
      <w:r>
        <w:rPr>
          <w:b/>
        </w:rPr>
        <w:t>Mieterstrom­modell</w:t>
      </w:r>
      <w:r>
        <w:t xml:space="preserve"> für den PV-Strom (1.200 kWp): Die SWKK will den erzeugten Strom direkt an Mieter zu attraktiven Konditionen unterhalb des Grund­versorgungs­preises liefern.</w:t>
      </w:r>
    </w:p>
    <w:p>
      <w:pPr>
        <w:pStyle w:val="ListNumber"/>
      </w:pPr>
      <w:r>
        <w:rPr>
          <w:b/>
        </w:rPr>
        <w:t>Industriekundenversorgung:</w:t>
      </w:r>
      <w:r>
        <w:t xml:space="preserve"> Das angrenzende Kühlhaus der Hafenbogen Logistik GmbH soll möglichst kostengünstig versorgt werden; die SWKK prüft, ob eine Netz­einspeisung oder eine Direkt­lieferung über eine Kunden­anlage wirtschaftlich günstiger ist.</w:t>
      </w:r>
    </w:p>
    <w:p>
      <w:pPr>
        <w:pStyle w:val="ListNumber"/>
      </w:pPr>
      <w:r>
        <w:rPr>
          <w:b/>
        </w:rPr>
        <w:t>Projektfinanzierung / Investor:</w:t>
      </w:r>
      <w:r>
        <w:t xml:space="preserve"> Ein Finanz­investor soll bis zu 25,1 % der Anteile an einer zu gründenden Projekt­gesellschaft übernehmen, um das Eigen­kapital zu entlasten.</w:t>
      </w:r>
    </w:p>
    <w:p>
      <w:pPr>
        <w:pStyle w:val="ListNumber"/>
      </w:pPr>
      <w:r>
        <w:rPr>
          <w:b/>
        </w:rPr>
        <w:t>Fördermittel:</w:t>
      </w:r>
      <w:r>
        <w:t xml:space="preserve"> Genutzt werden sollen insbesondere KfW-Programm 442 (Klimafreundlicher Neubau – Kommunen) und KfW 270 (Erneuerbare Energien).</w:t>
      </w:r>
    </w:p>
    <w:p>
      <w:pPr>
        <w:pStyle w:val="Heading3"/>
      </w:pPr>
      <w:r>
        <w:rPr>
          <w:rFonts w:ascii="Times New Roman" w:hAnsi="Times New Roman"/>
        </w:rPr>
        <w:t>1.3 Identifizierte Rechtsfragen</w:t>
      </w:r>
    </w:p>
    <w:p>
      <w:pPr>
        <w:jc w:val="left"/>
      </w:pPr>
      <w:r>
        <w:t>Im Erstgespräch wurden folgende Rechtsfragen identifiziert, die die Kanzlei bearbeiten soll:</w:t>
      </w:r>
    </w:p>
    <w:p>
      <w:pPr>
        <w:jc w:val="left"/>
      </w:pPr>
      <w:r>
        <w:rPr>
          <w:b/>
        </w:rPr>
        <w:t>a) Netzanschluss und Netzstruktur</w:t>
      </w:r>
    </w:p>
    <w:p>
      <w:pPr>
        <w:pStyle w:val="ListBullet"/>
      </w:pPr>
      <w:r>
        <w:t>Anspruch auf Anschluss an das MS-Netz des Netz­betreibers (§§ 17, 18 EnWG); Fristen des Netz­betreibers.</w:t>
      </w:r>
    </w:p>
    <w:p>
      <w:pPr>
        <w:pStyle w:val="ListBullet"/>
      </w:pPr>
      <w:r>
        <w:t>Abgrenzung Kundenanlage (§ 3 Nr. 24a EnWG) versus Geschlossenes Verteiler­netz (§ 110 EnWG) versus reguliertes Verteil­netz: Je nach Einordnung ergeben sich völlig unterschiedliche Pflichten (Mess­konzept, Umlagen, Registrier­pflichten).</w:t>
      </w:r>
    </w:p>
    <w:p>
      <w:pPr>
        <w:pStyle w:val="ListBullet"/>
      </w:pPr>
      <w:r>
        <w:t>Messkonzept: Eichrecht, intelligente Mess­systeme (§§ 29 ff. MsbG), Pflichten des Mess­stellenbetreibers.</w:t>
      </w:r>
    </w:p>
    <w:p>
      <w:pPr>
        <w:jc w:val="left"/>
      </w:pPr>
      <w:r>
        <w:rPr>
          <w:b/>
        </w:rPr>
        <w:t>b) EEG-Mieterstrom</w:t>
      </w:r>
    </w:p>
    <w:p>
      <w:pPr>
        <w:pStyle w:val="ListBullet"/>
      </w:pPr>
      <w:r>
        <w:t>Voraussetzungen Mieterstrom­zuschlag gem. § 21 Abs. 3 EEG 2023 (räumliche Nähe, Gebäude­voraussetzungen, Netto­leistung der PV-Anlage ≤ 1.000 kWp je Anlage, Anschluss Nutz­nutzer).</w:t>
      </w:r>
    </w:p>
    <w:p>
      <w:pPr>
        <w:pStyle w:val="ListBullet"/>
      </w:pPr>
      <w:r>
        <w:t>Verhältnis zwischen Eigen­versorgung und Mieterstrom: Wer ist Anlagen­betreiber? Gibt es einen Konzessions­vertrag?</w:t>
      </w:r>
    </w:p>
    <w:p>
      <w:pPr>
        <w:pStyle w:val="ListBullet"/>
      </w:pPr>
      <w:r>
        <w:t>Direkt­vermarktung der überschüssigen Strom­mengen: Bilanz­kreis­verantwortung, Fahrplan­lieferung.</w:t>
      </w:r>
    </w:p>
    <w:p>
      <w:pPr>
        <w:pStyle w:val="ListBullet"/>
      </w:pPr>
      <w:r>
        <w:t>Hinweis: Bei 1.200 kWp könnte die Anlage in mehrere Anlagen aufzuteilen sein (&lt; 1.000 kWp je Gebäude), um die EEG-Grenze einzuhalten. Herr Seltmann bestätigt, dass je Gebäudeeinheit ca. 240 kWp installiert werden sollen.</w:t>
      </w:r>
    </w:p>
    <w:p>
      <w:pPr>
        <w:jc w:val="left"/>
      </w:pPr>
      <w:r>
        <w:rPr>
          <w:b/>
        </w:rPr>
        <w:t>c) Wärme­lieferung</w:t>
      </w:r>
    </w:p>
    <w:p>
      <w:pPr>
        <w:pStyle w:val="ListBullet"/>
      </w:pPr>
      <w:r>
        <w:t>Anwendbarkeit der AVB Fernwärme V; Gestaltungs­freiheit bei Gewerbemietern.</w:t>
      </w:r>
    </w:p>
    <w:p>
      <w:pPr>
        <w:pStyle w:val="ListBullet"/>
      </w:pPr>
      <w:r>
        <w:t>Preisanpassungs­klausel: Anforderungen nach BGH-Rechtsprechung (u.a. BGH VIII ZR 51/13, VIII ZR 225/14); CO₂-Preis­komponente; Preis­anpassungs­index.</w:t>
      </w:r>
    </w:p>
    <w:p>
      <w:pPr>
        <w:pStyle w:val="ListBullet"/>
      </w:pPr>
      <w:r>
        <w:t>Sonder­kündigungs­recht bei Eigentumsübergang oder bei wesentlicher Leistungs­verschlechterung.</w:t>
      </w:r>
    </w:p>
    <w:p>
      <w:pPr>
        <w:jc w:val="left"/>
      </w:pPr>
      <w:r>
        <w:rPr>
          <w:b/>
        </w:rPr>
        <w:t>d) Industrie-Sonder­vertrag</w:t>
      </w:r>
    </w:p>
    <w:p>
      <w:pPr>
        <w:pStyle w:val="ListBullet"/>
      </w:pPr>
      <w:r>
        <w:t>§ 19 Abs. 2 StromNEV: Individuelle Netzentgelte für atypische Netznutzung oder für Letztverbraucher mit hohem Jahresverbrauch; Prüfung, ob der Industriekunde die Voraussetzungen erfüllt.</w:t>
      </w:r>
    </w:p>
    <w:p>
      <w:pPr>
        <w:pStyle w:val="ListBullet"/>
      </w:pPr>
      <w:r>
        <w:t>§§ 64 ff. EEG 2023: Besondere Ausgleichs­regelung; Antrags­voraussetzungen.</w:t>
      </w:r>
    </w:p>
    <w:p>
      <w:pPr>
        <w:pStyle w:val="ListBullet"/>
      </w:pPr>
      <w:r>
        <w:t>Liefer­kettengestaltung: Direkt­lieferung über Kunden­anlage oder Weiter­lieferung über Netz.</w:t>
      </w:r>
    </w:p>
    <w:p>
      <w:pPr>
        <w:jc w:val="left"/>
      </w:pPr>
      <w:r>
        <w:rPr>
          <w:b/>
        </w:rPr>
        <w:t>e) Transaktion / Investor</w:t>
      </w:r>
    </w:p>
    <w:p>
      <w:pPr>
        <w:pStyle w:val="ListBullet"/>
      </w:pPr>
      <w:r>
        <w:t>Gesellschafts­rechtliche Struktur der Projekt­gesellschaft (KG-Modell).</w:t>
      </w:r>
    </w:p>
    <w:p>
      <w:pPr>
        <w:pStyle w:val="ListBullet"/>
      </w:pPr>
      <w:r>
        <w:t>Term Sheet: Bewertungs­grundlage, Closing Conditions, Vetorechte des Investors, Tag-along/Drag-along, Negativliste.</w:t>
      </w:r>
    </w:p>
    <w:p>
      <w:pPr>
        <w:pStyle w:val="ListBullet"/>
      </w:pPr>
      <w:r>
        <w:t>Due-Diligence-Checkliste Energie­recht.</w:t>
      </w:r>
    </w:p>
    <w:p>
      <w:pPr>
        <w:jc w:val="left"/>
      </w:pPr>
      <w:r>
        <w:rPr>
          <w:b/>
        </w:rPr>
        <w:t>f) Behördliche Verfahren</w:t>
      </w:r>
    </w:p>
    <w:p>
      <w:pPr>
        <w:pStyle w:val="ListBullet"/>
      </w:pPr>
      <w:r>
        <w:t>Anzeige­pflichten gegenüber BNetzA für Wärme­netz im öffentlichen Straßenraum (§ 49 Abs. 4 EnWG; Genehmigung nach Straßen­recht NRW).</w:t>
      </w:r>
    </w:p>
    <w:p>
      <w:pPr>
        <w:pStyle w:val="ListBullet"/>
      </w:pPr>
      <w:r>
        <w:t>BImSchG: Genehmigungs­bedürftigkeit der Gas-Spitzenlast­kessel (4. BImSchV, TA Luft).</w:t>
      </w:r>
    </w:p>
    <w:p>
      <w:pPr>
        <w:jc w:val="left"/>
      </w:pPr>
      <w:r>
        <w:rPr>
          <w:b/>
        </w:rPr>
        <w:t>g) Förder­recht</w:t>
      </w:r>
    </w:p>
    <w:p>
      <w:pPr>
        <w:pStyle w:val="ListBullet"/>
      </w:pPr>
      <w:r>
        <w:t>KfW 442: Anforderungen, Kumulierungs­verbote, Antrag­stellung über Hausbank.</w:t>
      </w:r>
    </w:p>
    <w:p>
      <w:pPr>
        <w:pStyle w:val="ListBullet"/>
      </w:pPr>
      <w:r>
        <w:t>KfW 270: Förder­fähigkeit der PV-Anlage.</w:t>
      </w:r>
    </w:p>
    <w:p>
      <w:pPr>
        <w:pStyle w:val="ListBullet"/>
      </w:pPr>
      <w:r>
        <w:t>BAFA-Förderung für Groß­wärmepumpe.</w:t>
      </w:r>
    </w:p>
    <w:p/>
    <w:p>
      <w:pPr>
        <w:pStyle w:val="Heading2"/>
      </w:pPr>
      <w:r>
        <w:rPr>
          <w:rFonts w:ascii="Times New Roman" w:hAnsi="Times New Roman"/>
        </w:rPr>
        <w:t>2. Offene Punkte / Sofortmaßnahmen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Mandats­vereinbarung aufsetzen und unterzeichnen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Bernauer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25.03.2024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Erbbaurechtvertrag DB Netz AG anfordern und prüfen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Freitag-Sauermann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10.04.2024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Netzanschluss­begehren MS-Anschluss vorbereiten (zunächst Entwurf)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Bernauer / SWKK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30.04.2024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Anforderung Netz­struktur­daten vom Netzbetreiber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SWKK (Seltmann)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05.04.2024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Prüfung EEG-Fähigkeit: Aufteilung PV-Anlage auf Gebäude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Bernauer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15.04.2024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Kontaktaufnahme KfW-Hausbank (Sparkasse Lüdinghausen)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SWKK (Dr. Wohlfahrt)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01.04.2024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Gesellschafts­rechtliche Struktur Projekt­gesellschaft skizzieren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RAin Freitag-Sauermann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15.04.2024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Erstkontakt potenzieller Investor (StB Bayern mbH) koordinieren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SWKK (Dr. Wohlfahrt)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Honorarvereinbarung</w:t>
      </w:r>
    </w:p>
    <w:p>
      <w:pPr>
        <w:jc w:val="left"/>
      </w:pPr>
      <w:r>
        <w:t>Die Vergütung erfolgt auf Stunden­basis (§ 34 RVG analog, Honorarvereinbarung). Vereinbart: 280 EUR/Stunde für Partner, 195 EUR/Stunde für assoziierte Rechts­anwältinnen und Rechtsanwälte, jeweils zzgl. USt. Ein Kosten­vorschuss von 5.000 EUR (zzgl. USt.) wird mit der Mandats­vereinbarung angefordert. Die Abrechnung erfolgt monatlich.</w:t>
      </w:r>
    </w:p>
    <w:p/>
    <w:p>
      <w:pPr>
        <w:pStyle w:val="Heading2"/>
      </w:pPr>
      <w:r>
        <w:rPr>
          <w:rFonts w:ascii="Times New Roman" w:hAnsi="Times New Roman"/>
        </w:rPr>
        <w:t>4. Nächster Termin</w:t>
      </w:r>
    </w:p>
    <w:p>
      <w:pPr>
        <w:jc w:val="left"/>
      </w:pPr>
      <w:r>
        <w:t xml:space="preserve">Kick-off mit gesamtem Projektteam: </w:t>
      </w:r>
      <w:r>
        <w:rPr>
          <w:b/>
        </w:rPr>
        <w:t>22. April 2024</w:t>
      </w:r>
      <w:r>
        <w:t>, 10:00 Uhr, Konferenzraum SWKK, Bahnhofstraße 12, Lüdinghausen (alternativ Videokonferenz).</w:t>
      </w:r>
    </w:p>
    <w:p/>
    <w:p>
      <w:pPr>
        <w:jc w:val="left"/>
      </w:pPr>
      <w:r>
        <w:rPr>
          <w:i/>
        </w:rPr>
        <w:t>Münster, den 15. März 2024</w:t>
      </w:r>
    </w:p>
    <w:p>
      <w:pPr>
        <w:jc w:val="left"/>
      </w:pPr>
      <w:r>
        <w:rPr>
          <w:b/>
        </w:rPr>
        <w:t>RA Thomas Bernauer</w:t>
      </w:r>
    </w:p>
    <w:p>
      <w:pPr>
        <w:jc w:val="left"/>
      </w:pPr>
      <w:r>
        <w:t>Bernauer &amp; Partnerinnen</w:t>
      </w:r>
    </w:p>
    <w:p>
      <w:pPr>
        <w:jc w:val="left"/>
      </w:pPr>
      <w:r>
        <w:rPr>
          <w:i/>
        </w:rPr>
        <w:t>Vermerk erstellt um 18:42 Uhr. Nicht korrekturgelesen von Mandant. Zur internen Akte.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Erstgespräch Stadtwerke Klotzkette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Erstgespräch Stadtwerke Klotzkette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