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Term Sheet – Anteilserwerb Hafenbogen Energie GmbH &amp; Co. KG</w:t>
      </w:r>
    </w:p>
    <w:p>
      <w:pPr>
        <w:jc w:val="left"/>
      </w:pPr>
      <w:r>
        <w:rPr>
          <w:b/>
        </w:rPr>
        <w:t>Dokument-Nr.:</w:t>
      </w:r>
      <w:r>
        <w:t xml:space="preserve"> SWKK-TS-2026-001</w:t>
      </w:r>
    </w:p>
    <w:p>
      <w:pPr>
        <w:jc w:val="left"/>
      </w:pPr>
      <w:r>
        <w:rPr>
          <w:b/>
        </w:rPr>
        <w:t>Datum:</w:t>
      </w:r>
      <w:r>
        <w:t xml:space="preserve"> 20. Januar 2026 (paraphiert; noch nicht final unterzeichnet)</w:t>
      </w:r>
    </w:p>
    <w:p>
      <w:pPr>
        <w:jc w:val="left"/>
      </w:pPr>
      <w:r>
        <w:rPr>
          <w:b/>
        </w:rPr>
        <w:t>Vertraulichkeit:</w:t>
      </w:r>
      <w:r>
        <w:t xml:space="preserve"> Streng vertraulich – nur für die Parteien und deren Berater</w:t>
      </w:r>
    </w:p>
    <w:p/>
    <w:p>
      <w:pPr>
        <w:pStyle w:val="Heading2"/>
      </w:pPr>
      <w:r>
        <w:rPr>
          <w:rFonts w:ascii="Times New Roman" w:hAnsi="Times New Roman"/>
        </w:rPr>
        <w:t>TERM SHEET</w:t>
      </w:r>
    </w:p>
    <w:p>
      <w:pPr>
        <w:pStyle w:val="Heading3"/>
      </w:pPr>
      <w:r>
        <w:rPr>
          <w:rFonts w:ascii="Times New Roman" w:hAnsi="Times New Roman"/>
        </w:rPr>
        <w:t>Anteilsübertragung an der Hafenbogen Energie GmbH &amp; Co. KG</w:t>
      </w:r>
    </w:p>
    <w:p>
      <w:pPr>
        <w:jc w:val="left"/>
      </w:pPr>
      <w:r>
        <w:t>zwischen</w:t>
      </w:r>
    </w:p>
    <w:p>
      <w:pPr>
        <w:jc w:val="left"/>
      </w:pPr>
      <w:r>
        <w:rPr>
          <w:b/>
        </w:rPr>
        <w:t>Stadtwerke Klotzkette AG</w:t>
      </w:r>
      <w:r>
        <w:t xml:space="preserve"> (Veräußerer)</w:t>
      </w:r>
    </w:p>
    <w:p>
      <w:pPr>
        <w:jc w:val="left"/>
      </w:pPr>
      <w:r>
        <w:t>Bahnhofstraße 12, 59348 Lüdinghausen</w:t>
      </w:r>
    </w:p>
    <w:p>
      <w:pPr>
        <w:jc w:val="left"/>
      </w:pPr>
      <w:r>
        <w:t>(nachfolgend "SWKK")</w:t>
      </w:r>
    </w:p>
    <w:p>
      <w:pPr>
        <w:jc w:val="left"/>
      </w:pPr>
      <w:r>
        <w:t>und</w:t>
      </w:r>
    </w:p>
    <w:p>
      <w:pPr>
        <w:jc w:val="left"/>
      </w:pPr>
      <w:r>
        <w:rPr>
          <w:b/>
        </w:rPr>
        <w:t>Stadtwerke-Beteiligungsgesellschaft Bayern mbH</w:t>
      </w:r>
      <w:r>
        <w:t xml:space="preserve"> (Erwerber)</w:t>
      </w:r>
    </w:p>
    <w:p>
      <w:pPr>
        <w:jc w:val="left"/>
      </w:pPr>
      <w:r>
        <w:t>Prinzregentenstraße 42, 80538 München</w:t>
      </w:r>
    </w:p>
    <w:p>
      <w:pPr>
        <w:jc w:val="left"/>
      </w:pPr>
      <w:r>
        <w:t>HRB 221588, AG München</w:t>
      </w:r>
    </w:p>
    <w:p>
      <w:pPr>
        <w:jc w:val="left"/>
      </w:pPr>
      <w:r>
        <w:t>(nachfolgend "Investor")</w:t>
      </w:r>
    </w:p>
    <w:p/>
    <w:p>
      <w:pPr>
        <w:ind w:left="567"/>
      </w:pPr>
      <w:r>
        <w:rPr>
          <w:b/>
          <w:i/>
        </w:rPr>
        <w:t>Vorbemerkung:</w:t>
      </w:r>
      <w:r>
        <w:rPr>
          <w:i/>
        </w:rPr>
        <w:t xml:space="preserve"> Dieses Term Sheet ist nicht rechtsverbindlich, soweit nicht explizit als verbindlich gekennzeichnet. Es dient als Grundlage für die Verhandlung und Ausgestaltung des notariellen Abtretungsvertrags. Verbindlich sind lediglich die Abschnitte "Exklusivität" und "Vertraulichkeit".</w:t>
      </w:r>
    </w:p>
    <w:p/>
    <w:p>
      <w:pPr>
        <w:pStyle w:val="Heading2"/>
      </w:pPr>
      <w:r>
        <w:rPr>
          <w:rFonts w:ascii="Times New Roman" w:hAnsi="Times New Roman"/>
        </w:rPr>
        <w:t>1. Transaktionsstruktur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Details</w:t>
            </w:r>
          </w:p>
        </w:tc>
      </w:tr>
      <w:tr>
        <w:tc>
          <w:tcPr>
            <w:tcW w:type="dxa" w:w="4536"/>
          </w:tcPr>
          <w:p>
            <w:r>
              <w:rPr>
                <w:rFonts w:ascii="Times New Roman" w:hAnsi="Times New Roman"/>
                <w:b/>
                <w:sz w:val="20"/>
              </w:rPr>
              <w:t>Zielgesellschaft</w:t>
            </w:r>
          </w:p>
        </w:tc>
        <w:tc>
          <w:tcPr>
            <w:tcW w:type="dxa" w:w="4536"/>
          </w:tcPr>
          <w:p>
            <w:r>
              <w:rPr>
                <w:rFonts w:ascii="Times New Roman" w:hAnsi="Times New Roman"/>
                <w:sz w:val="20"/>
              </w:rPr>
              <w:t>Hafenbogen Energie GmbH &amp; Co. KG, HRB 34812, AG Münster</w:t>
            </w:r>
          </w:p>
        </w:tc>
      </w:tr>
      <w:tr>
        <w:tc>
          <w:tcPr>
            <w:tcW w:type="dxa" w:w="4536"/>
          </w:tcPr>
          <w:p>
            <w:r>
              <w:rPr>
                <w:rFonts w:ascii="Times New Roman" w:hAnsi="Times New Roman"/>
                <w:b/>
                <w:sz w:val="20"/>
              </w:rPr>
              <w:t>Komplementärin</w:t>
            </w:r>
          </w:p>
        </w:tc>
        <w:tc>
          <w:tcPr>
            <w:tcW w:type="dxa" w:w="4536"/>
          </w:tcPr>
          <w:p>
            <w:r>
              <w:rPr>
                <w:rFonts w:ascii="Times New Roman" w:hAnsi="Times New Roman"/>
                <w:sz w:val="20"/>
              </w:rPr>
              <w:t>Hafenbogen Energie Verwaltungs-GmbH (SWKK: 100 %)</w:t>
            </w:r>
          </w:p>
        </w:tc>
      </w:tr>
      <w:tr>
        <w:tc>
          <w:tcPr>
            <w:tcW w:type="dxa" w:w="4536"/>
          </w:tcPr>
          <w:p>
            <w:r>
              <w:rPr>
                <w:rFonts w:ascii="Times New Roman" w:hAnsi="Times New Roman"/>
                <w:b/>
                <w:sz w:val="20"/>
              </w:rPr>
              <w:t>Kommanditisten vor Transaktion</w:t>
            </w:r>
          </w:p>
        </w:tc>
        <w:tc>
          <w:tcPr>
            <w:tcW w:type="dxa" w:w="4536"/>
          </w:tcPr>
          <w:p>
            <w:r>
              <w:rPr>
                <w:rFonts w:ascii="Times New Roman" w:hAnsi="Times New Roman"/>
                <w:sz w:val="20"/>
              </w:rPr>
              <w:t>SWKK: 100 % (KG-Anteil)</w:t>
            </w:r>
          </w:p>
        </w:tc>
      </w:tr>
      <w:tr>
        <w:tc>
          <w:tcPr>
            <w:tcW w:type="dxa" w:w="4536"/>
          </w:tcPr>
          <w:p>
            <w:r>
              <w:rPr>
                <w:rFonts w:ascii="Times New Roman" w:hAnsi="Times New Roman"/>
                <w:b/>
                <w:sz w:val="20"/>
              </w:rPr>
              <w:t>Übertragungsgegenstand</w:t>
            </w:r>
          </w:p>
        </w:tc>
        <w:tc>
          <w:tcPr>
            <w:tcW w:type="dxa" w:w="4536"/>
          </w:tcPr>
          <w:p>
            <w:r>
              <w:rPr>
                <w:rFonts w:ascii="Times New Roman" w:hAnsi="Times New Roman"/>
                <w:sz w:val="20"/>
              </w:rPr>
              <w:t>25,1 % des KG-Anteils (Kommanditanteil)</w:t>
            </w:r>
          </w:p>
        </w:tc>
      </w:tr>
      <w:tr>
        <w:tc>
          <w:tcPr>
            <w:tcW w:type="dxa" w:w="4536"/>
          </w:tcPr>
          <w:p>
            <w:r>
              <w:rPr>
                <w:rFonts w:ascii="Times New Roman" w:hAnsi="Times New Roman"/>
                <w:b/>
                <w:sz w:val="20"/>
              </w:rPr>
              <w:t>Verbleibender Anteil SWKK</w:t>
            </w:r>
          </w:p>
        </w:tc>
        <w:tc>
          <w:tcPr>
            <w:tcW w:type="dxa" w:w="4536"/>
          </w:tcPr>
          <w:p>
            <w:r>
              <w:rPr>
                <w:rFonts w:ascii="Times New Roman" w:hAnsi="Times New Roman"/>
                <w:sz w:val="20"/>
              </w:rPr>
              <w:t>74,9 % (Kommanditanteil) + 100 % Komplementärin</w:t>
            </w:r>
          </w:p>
        </w:tc>
      </w:tr>
      <w:tr>
        <w:tc>
          <w:tcPr>
            <w:tcW w:type="dxa" w:w="4536"/>
          </w:tcPr>
          <w:p>
            <w:r>
              <w:rPr>
                <w:rFonts w:ascii="Times New Roman" w:hAnsi="Times New Roman"/>
                <w:b/>
                <w:sz w:val="20"/>
              </w:rPr>
              <w:t>Transaktionsart</w:t>
            </w:r>
          </w:p>
        </w:tc>
        <w:tc>
          <w:tcPr>
            <w:tcW w:type="dxa" w:w="4536"/>
          </w:tcPr>
          <w:p>
            <w:r>
              <w:rPr>
                <w:rFonts w:ascii="Times New Roman" w:hAnsi="Times New Roman"/>
                <w:sz w:val="20"/>
              </w:rPr>
              <w:t>Share Deal (Abtretung Kommanditanteil)</w:t>
            </w:r>
          </w:p>
        </w:tc>
      </w:tr>
      <w:tr>
        <w:tc>
          <w:tcPr>
            <w:tcW w:type="dxa" w:w="4536"/>
          </w:tcPr>
          <w:p>
            <w:r>
              <w:rPr>
                <w:rFonts w:ascii="Times New Roman" w:hAnsi="Times New Roman"/>
                <w:b/>
                <w:sz w:val="20"/>
              </w:rPr>
              <w:t>Käufer</w:t>
            </w:r>
          </w:p>
        </w:tc>
        <w:tc>
          <w:tcPr>
            <w:tcW w:type="dxa" w:w="4536"/>
          </w:tcPr>
          <w:p>
            <w:r>
              <w:rPr>
                <w:rFonts w:ascii="Times New Roman" w:hAnsi="Times New Roman"/>
                <w:sz w:val="20"/>
              </w:rPr>
              <w:t>Stadtwerke-Beteiligungsgesellschaft Bayern mbH</w:t>
            </w:r>
          </w:p>
        </w:tc>
      </w:tr>
    </w:tbl>
    <w:p/>
    <w:p>
      <w:pPr>
        <w:pStyle w:val="Heading2"/>
      </w:pPr>
      <w:r>
        <w:rPr>
          <w:rFonts w:ascii="Times New Roman" w:hAnsi="Times New Roman"/>
        </w:rPr>
        <w:t>2. Bewertung und Kaufpreis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Details</w:t>
            </w:r>
          </w:p>
        </w:tc>
      </w:tr>
      <w:tr>
        <w:tc>
          <w:tcPr>
            <w:tcW w:type="dxa" w:w="4536"/>
          </w:tcPr>
          <w:p>
            <w:r>
              <w:rPr>
                <w:rFonts w:ascii="Times New Roman" w:hAnsi="Times New Roman"/>
                <w:b/>
                <w:sz w:val="20"/>
              </w:rPr>
              <w:t>Unternehmenswert (Enterprise Value)</w:t>
            </w:r>
          </w:p>
        </w:tc>
        <w:tc>
          <w:tcPr>
            <w:tcW w:type="dxa" w:w="4536"/>
          </w:tcPr>
          <w:p>
            <w:r>
              <w:rPr>
                <w:rFonts w:ascii="Times New Roman" w:hAnsi="Times New Roman"/>
                <w:sz w:val="20"/>
              </w:rPr>
              <w:t>ca. 18.500.000 EUR (Basis: DCF-Bewertung, Gutachten PwC GmbH WPG, Entwurf Nov. 2025)</w:t>
            </w:r>
          </w:p>
        </w:tc>
      </w:tr>
      <w:tr>
        <w:tc>
          <w:tcPr>
            <w:tcW w:type="dxa" w:w="4536"/>
          </w:tcPr>
          <w:p>
            <w:r>
              <w:rPr>
                <w:rFonts w:ascii="Times New Roman" w:hAnsi="Times New Roman"/>
                <w:b/>
                <w:sz w:val="20"/>
              </w:rPr>
              <w:t>Nettovermögenswert (Equity Value)</w:t>
            </w:r>
          </w:p>
        </w:tc>
        <w:tc>
          <w:tcPr>
            <w:tcW w:type="dxa" w:w="4536"/>
          </w:tcPr>
          <w:p>
            <w:r>
              <w:rPr>
                <w:rFonts w:ascii="Times New Roman" w:hAnsi="Times New Roman"/>
                <w:sz w:val="20"/>
              </w:rPr>
              <w:t>ca. 14.200.000 EUR (nach Abzug geplanter Fremdfinanzierung 4.300.000 EUR)</w:t>
            </w:r>
          </w:p>
        </w:tc>
      </w:tr>
      <w:tr>
        <w:tc>
          <w:tcPr>
            <w:tcW w:type="dxa" w:w="4536"/>
          </w:tcPr>
          <w:p>
            <w:r>
              <w:rPr>
                <w:rFonts w:ascii="Times New Roman" w:hAnsi="Times New Roman"/>
                <w:b/>
                <w:sz w:val="20"/>
              </w:rPr>
              <w:t>Kaufpreis für 25,1 %</w:t>
            </w:r>
          </w:p>
        </w:tc>
        <w:tc>
          <w:tcPr>
            <w:tcW w:type="dxa" w:w="4536"/>
          </w:tcPr>
          <w:p>
            <w:r>
              <w:rPr>
                <w:rFonts w:ascii="Times New Roman" w:hAnsi="Times New Roman"/>
                <w:sz w:val="20"/>
              </w:rPr>
              <w:t>ca. 3.564.200 EUR (Festpreis, vorbehaltlich Anpassungsklausel)</w:t>
            </w:r>
          </w:p>
        </w:tc>
      </w:tr>
      <w:tr>
        <w:tc>
          <w:tcPr>
            <w:tcW w:type="dxa" w:w="4536"/>
          </w:tcPr>
          <w:p>
            <w:r>
              <w:rPr>
                <w:rFonts w:ascii="Times New Roman" w:hAnsi="Times New Roman"/>
                <w:b/>
                <w:sz w:val="20"/>
              </w:rPr>
              <w:t>Kaufpreisanpassung</w:t>
            </w:r>
          </w:p>
        </w:tc>
        <w:tc>
          <w:tcPr>
            <w:tcW w:type="dxa" w:w="4536"/>
          </w:tcPr>
          <w:p>
            <w:r>
              <w:rPr>
                <w:rFonts w:ascii="Times New Roman" w:hAnsi="Times New Roman"/>
                <w:sz w:val="20"/>
              </w:rPr>
              <w:t>Locked-box-Mechanismus per 31.12.2025; Abzug von Leck-Beträgen (Leakage) seit Locked-Box-Datum</w:t>
            </w:r>
          </w:p>
        </w:tc>
      </w:tr>
      <w:tr>
        <w:tc>
          <w:tcPr>
            <w:tcW w:type="dxa" w:w="4536"/>
          </w:tcPr>
          <w:p>
            <w:r>
              <w:rPr>
                <w:rFonts w:ascii="Times New Roman" w:hAnsi="Times New Roman"/>
                <w:b/>
                <w:sz w:val="20"/>
              </w:rPr>
              <w:t>Fälligkeit</w:t>
            </w:r>
          </w:p>
        </w:tc>
        <w:tc>
          <w:tcPr>
            <w:tcW w:type="dxa" w:w="4536"/>
          </w:tcPr>
          <w:p>
            <w:r>
              <w:rPr>
                <w:rFonts w:ascii="Times New Roman" w:hAnsi="Times New Roman"/>
                <w:sz w:val="20"/>
              </w:rPr>
              <w:t>Zahlung am Closing-Datum (Zug-um-Zug gegen Abtretung)</w:t>
            </w:r>
          </w:p>
        </w:tc>
      </w:tr>
      <w:tr>
        <w:tc>
          <w:tcPr>
            <w:tcW w:type="dxa" w:w="4536"/>
          </w:tcPr>
          <w:p>
            <w:r>
              <w:rPr>
                <w:rFonts w:ascii="Times New Roman" w:hAnsi="Times New Roman"/>
                <w:b/>
                <w:sz w:val="20"/>
              </w:rPr>
              <w:t>Treuhandkonto</w:t>
            </w:r>
          </w:p>
        </w:tc>
        <w:tc>
          <w:tcPr>
            <w:tcW w:type="dxa" w:w="4536"/>
          </w:tcPr>
          <w:p>
            <w:r>
              <w:rPr>
                <w:rFonts w:ascii="Times New Roman" w:hAnsi="Times New Roman"/>
                <w:sz w:val="20"/>
              </w:rPr>
              <w:t>Kaufpreis wird auf Treuhandkonto des beurkundenden Notars eingezahlt</w:t>
            </w:r>
          </w:p>
        </w:tc>
      </w:tr>
    </w:tbl>
    <w:p/>
    <w:p>
      <w:pPr>
        <w:pStyle w:val="Heading2"/>
      </w:pPr>
      <w:r>
        <w:rPr>
          <w:rFonts w:ascii="Times New Roman" w:hAnsi="Times New Roman"/>
        </w:rPr>
        <w:t>3. Due Diligence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Details</w:t>
            </w:r>
          </w:p>
        </w:tc>
      </w:tr>
      <w:tr>
        <w:tc>
          <w:tcPr>
            <w:tcW w:type="dxa" w:w="4536"/>
          </w:tcPr>
          <w:p>
            <w:r>
              <w:rPr>
                <w:rFonts w:ascii="Times New Roman" w:hAnsi="Times New Roman"/>
                <w:b/>
                <w:sz w:val="20"/>
              </w:rPr>
              <w:t>DD-Kickoff</w:t>
            </w:r>
          </w:p>
        </w:tc>
        <w:tc>
          <w:tcPr>
            <w:tcW w:type="dxa" w:w="4536"/>
          </w:tcPr>
          <w:p>
            <w:r>
              <w:rPr>
                <w:rFonts w:ascii="Times New Roman" w:hAnsi="Times New Roman"/>
                <w:sz w:val="20"/>
              </w:rPr>
              <w:t>04. November 2025</w:t>
            </w:r>
          </w:p>
        </w:tc>
      </w:tr>
      <w:tr>
        <w:tc>
          <w:tcPr>
            <w:tcW w:type="dxa" w:w="4536"/>
          </w:tcPr>
          <w:p>
            <w:r>
              <w:rPr>
                <w:rFonts w:ascii="Times New Roman" w:hAnsi="Times New Roman"/>
                <w:b/>
                <w:sz w:val="20"/>
              </w:rPr>
              <w:t>Umfang</w:t>
            </w:r>
          </w:p>
        </w:tc>
        <w:tc>
          <w:tcPr>
            <w:tcW w:type="dxa" w:w="4536"/>
          </w:tcPr>
          <w:p>
            <w:r>
              <w:rPr>
                <w:rFonts w:ascii="Times New Roman" w:hAnsi="Times New Roman"/>
                <w:sz w:val="20"/>
              </w:rPr>
              <w:t>Energierechtlich, gesellschaftsrechtlich, steuerlich, technisch, finanziell</w:t>
            </w:r>
          </w:p>
        </w:tc>
      </w:tr>
      <w:tr>
        <w:tc>
          <w:tcPr>
            <w:tcW w:type="dxa" w:w="4536"/>
          </w:tcPr>
          <w:p>
            <w:r>
              <w:rPr>
                <w:rFonts w:ascii="Times New Roman" w:hAnsi="Times New Roman"/>
                <w:b/>
                <w:sz w:val="20"/>
              </w:rPr>
              <w:t>Virtual Data Room</w:t>
            </w:r>
          </w:p>
        </w:tc>
        <w:tc>
          <w:tcPr>
            <w:tcW w:type="dxa" w:w="4536"/>
          </w:tcPr>
          <w:p>
            <w:r>
              <w:rPr>
                <w:rFonts w:ascii="Times New Roman" w:hAnsi="Times New Roman"/>
                <w:sz w:val="20"/>
              </w:rPr>
              <w:t>Datenraum eröffnet 05. November 2025 (Ansarada-Plattform)</w:t>
            </w:r>
          </w:p>
        </w:tc>
      </w:tr>
      <w:tr>
        <w:tc>
          <w:tcPr>
            <w:tcW w:type="dxa" w:w="4536"/>
          </w:tcPr>
          <w:p>
            <w:r>
              <w:rPr>
                <w:rFonts w:ascii="Times New Roman" w:hAnsi="Times New Roman"/>
                <w:b/>
                <w:sz w:val="20"/>
              </w:rPr>
              <w:t>DD-Abschluss</w:t>
            </w:r>
          </w:p>
        </w:tc>
        <w:tc>
          <w:tcPr>
            <w:tcW w:type="dxa" w:w="4536"/>
          </w:tcPr>
          <w:p>
            <w:r>
              <w:rPr>
                <w:rFonts w:ascii="Times New Roman" w:hAnsi="Times New Roman"/>
                <w:sz w:val="20"/>
              </w:rPr>
              <w:t>Befundbericht abgegeben 31. Januar 2026 (Investor)</w:t>
            </w:r>
          </w:p>
        </w:tc>
      </w:tr>
      <w:tr>
        <w:tc>
          <w:tcPr>
            <w:tcW w:type="dxa" w:w="4536"/>
          </w:tcPr>
          <w:p>
            <w:r>
              <w:rPr>
                <w:rFonts w:ascii="Times New Roman" w:hAnsi="Times New Roman"/>
                <w:b/>
                <w:sz w:val="20"/>
              </w:rPr>
              <w:t>Wesentliche DD-Findings</w:t>
            </w:r>
          </w:p>
        </w:tc>
        <w:tc>
          <w:tcPr>
            <w:tcW w:type="dxa" w:w="4536"/>
          </w:tcPr>
          <w:p>
            <w:r>
              <w:rPr>
                <w:rFonts w:ascii="Times New Roman" w:hAnsi="Times New Roman"/>
                <w:sz w:val="20"/>
              </w:rPr>
              <w:t>Siehe 06_transaktion/energie_dd_findings_roh.md</w:t>
            </w:r>
          </w:p>
        </w:tc>
      </w:tr>
      <w:tr>
        <w:tc>
          <w:tcPr>
            <w:tcW w:type="dxa" w:w="4536"/>
          </w:tcPr>
          <w:p>
            <w:r>
              <w:rPr>
                <w:rFonts w:ascii="Times New Roman" w:hAnsi="Times New Roman"/>
                <w:b/>
                <w:sz w:val="20"/>
              </w:rPr>
              <w:t>Material Adverse Change</w:t>
            </w:r>
          </w:p>
        </w:tc>
        <w:tc>
          <w:tcPr>
            <w:tcW w:type="dxa" w:w="4536"/>
          </w:tcPr>
          <w:p>
            <w:r>
              <w:rPr>
                <w:rFonts w:ascii="Times New Roman" w:hAnsi="Times New Roman"/>
                <w:sz w:val="20"/>
              </w:rPr>
              <w:t>Bedingung: Keine MAC seit Locked-Box-Datum</w:t>
            </w:r>
          </w:p>
        </w:tc>
      </w:tr>
    </w:tbl>
    <w:p/>
    <w:p>
      <w:pPr>
        <w:pStyle w:val="Heading2"/>
      </w:pPr>
      <w:r>
        <w:rPr>
          <w:rFonts w:ascii="Times New Roman" w:hAnsi="Times New Roman"/>
        </w:rPr>
        <w:t>4. Gesellschaftsrechtliche Vereinbarungen (Gesellschaftervertrag KG)</w:t>
      </w:r>
    </w:p>
    <w:p>
      <w:pPr>
        <w:pStyle w:val="Heading3"/>
      </w:pPr>
      <w:r>
        <w:rPr>
          <w:rFonts w:ascii="Times New Roman" w:hAnsi="Times New Roman"/>
        </w:rPr>
        <w:t>4.1 Governance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Thema</w:t>
            </w:r>
          </w:p>
        </w:tc>
        <w:tc>
          <w:tcPr>
            <w:tcW w:type="dxa" w:w="4536"/>
          </w:tcPr>
          <w:p>
            <w:r>
              <w:rPr>
                <w:rFonts w:ascii="Times New Roman" w:hAnsi="Times New Roman"/>
                <w:b/>
                <w:sz w:val="20"/>
              </w:rPr>
              <w:t>Regelung</w:t>
            </w:r>
          </w:p>
        </w:tc>
      </w:tr>
      <w:tr>
        <w:tc>
          <w:tcPr>
            <w:tcW w:type="dxa" w:w="4536"/>
          </w:tcPr>
          <w:p>
            <w:r>
              <w:rPr>
                <w:rFonts w:ascii="Times New Roman" w:hAnsi="Times New Roman"/>
                <w:b/>
                <w:sz w:val="20"/>
              </w:rPr>
              <w:t>Geschäftsführung</w:t>
            </w:r>
          </w:p>
        </w:tc>
        <w:tc>
          <w:tcPr>
            <w:tcW w:type="dxa" w:w="4536"/>
          </w:tcPr>
          <w:p>
            <w:r>
              <w:rPr>
                <w:rFonts w:ascii="Times New Roman" w:hAnsi="Times New Roman"/>
                <w:sz w:val="20"/>
              </w:rPr>
              <w:t>Komplementärin (Hafenbogen Energie Verwaltungs-GmbH), Alleingeschäftsführer = SWKK-Nominierung</w:t>
            </w:r>
          </w:p>
        </w:tc>
      </w:tr>
      <w:tr>
        <w:tc>
          <w:tcPr>
            <w:tcW w:type="dxa" w:w="4536"/>
          </w:tcPr>
          <w:p>
            <w:r>
              <w:rPr>
                <w:rFonts w:ascii="Times New Roman" w:hAnsi="Times New Roman"/>
                <w:b/>
                <w:sz w:val="20"/>
              </w:rPr>
              <w:t>Beirat</w:t>
            </w:r>
          </w:p>
        </w:tc>
        <w:tc>
          <w:tcPr>
            <w:tcW w:type="dxa" w:w="4536"/>
          </w:tcPr>
          <w:p>
            <w:r>
              <w:rPr>
                <w:rFonts w:ascii="Times New Roman" w:hAnsi="Times New Roman"/>
                <w:sz w:val="20"/>
              </w:rPr>
              <w:t>3 Mitglieder: 2 × SWKK, 1 × Investor</w:t>
            </w:r>
          </w:p>
        </w:tc>
      </w:tr>
      <w:tr>
        <w:tc>
          <w:tcPr>
            <w:tcW w:type="dxa" w:w="4536"/>
          </w:tcPr>
          <w:p>
            <w:r>
              <w:rPr>
                <w:rFonts w:ascii="Times New Roman" w:hAnsi="Times New Roman"/>
                <w:b/>
                <w:sz w:val="20"/>
              </w:rPr>
              <w:t>Einstimmigkeit im Beirat</w:t>
            </w:r>
          </w:p>
        </w:tc>
        <w:tc>
          <w:tcPr>
            <w:tcW w:type="dxa" w:w="4536"/>
          </w:tcPr>
          <w:p>
            <w:r>
              <w:rPr>
                <w:rFonts w:ascii="Times New Roman" w:hAnsi="Times New Roman"/>
                <w:sz w:val="20"/>
              </w:rPr>
              <w:t>Für Grundlagengeschäfte (s. Negativliste, § 4.2)</w:t>
            </w:r>
          </w:p>
        </w:tc>
      </w:tr>
      <w:tr>
        <w:tc>
          <w:tcPr>
            <w:tcW w:type="dxa" w:w="4536"/>
          </w:tcPr>
          <w:p>
            <w:r>
              <w:rPr>
                <w:rFonts w:ascii="Times New Roman" w:hAnsi="Times New Roman"/>
                <w:b/>
                <w:sz w:val="20"/>
              </w:rPr>
              <w:t>Gewöhnliche Geschäfte</w:t>
            </w:r>
          </w:p>
        </w:tc>
        <w:tc>
          <w:tcPr>
            <w:tcW w:type="dxa" w:w="4536"/>
          </w:tcPr>
          <w:p>
            <w:r>
              <w:rPr>
                <w:rFonts w:ascii="Times New Roman" w:hAnsi="Times New Roman"/>
                <w:sz w:val="20"/>
              </w:rPr>
              <w:t>Alleinentscheidung Komplementärin bis EUR 500.000/Einzelmaßnahme</w:t>
            </w:r>
          </w:p>
        </w:tc>
      </w:tr>
    </w:tbl>
    <w:p>
      <w:pPr>
        <w:pStyle w:val="Heading3"/>
      </w:pPr>
      <w:r>
        <w:rPr>
          <w:rFonts w:ascii="Times New Roman" w:hAnsi="Times New Roman"/>
        </w:rPr>
        <w:t>4.2 Negativliste (Zustimmungsvorbehalt Investor)</w:t>
      </w:r>
    </w:p>
    <w:p>
      <w:pPr>
        <w:jc w:val="left"/>
      </w:pPr>
      <w:r>
        <w:t>Für folgende Maßnahmen ist die Zustimmung des Investors (einfache Mehrheit Beirat) erforderlich:</w:t>
      </w:r>
    </w:p>
    <w:p>
      <w:pPr>
        <w:pStyle w:val="ListNumber"/>
      </w:pPr>
      <w:r>
        <w:t>Investitionen &gt; 1.000.000 EUR (über den Investitionsplan hinaus)</w:t>
      </w:r>
    </w:p>
    <w:p>
      <w:pPr>
        <w:pStyle w:val="ListNumber"/>
      </w:pPr>
      <w:r>
        <w:t>Aufnahme neuer Fremdmittel &gt; 500.000 EUR</w:t>
      </w:r>
    </w:p>
    <w:p>
      <w:pPr>
        <w:pStyle w:val="ListNumber"/>
      </w:pPr>
      <w:r>
        <w:t>Wesentliche Änderungen der Energie­liefer­verträge (Laufzeit, Preis­struktur)</w:t>
      </w:r>
    </w:p>
    <w:p>
      <w:pPr>
        <w:pStyle w:val="ListNumber"/>
      </w:pPr>
      <w:r>
        <w:t>Veräußerung von Anlagevermögen &gt; 200.000 EUR</w:t>
      </w:r>
    </w:p>
    <w:p>
      <w:pPr>
        <w:pStyle w:val="ListNumber"/>
      </w:pPr>
      <w:r>
        <w:t>Gesellschaftsvertragliche Änderungen</w:t>
      </w:r>
    </w:p>
    <w:p>
      <w:pPr>
        <w:pStyle w:val="ListNumber"/>
      </w:pPr>
      <w:r>
        <w:t>Abschluss verbundener Transaktionen mit SWKK (Related-Party-Transaktionen)</w:t>
      </w:r>
    </w:p>
    <w:p>
      <w:pPr>
        <w:pStyle w:val="Heading3"/>
      </w:pPr>
      <w:r>
        <w:rPr>
          <w:rFonts w:ascii="Times New Roman" w:hAnsi="Times New Roman"/>
        </w:rPr>
        <w:t>4.3 Ausschüttungen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Thema</w:t>
            </w:r>
          </w:p>
        </w:tc>
        <w:tc>
          <w:tcPr>
            <w:tcW w:type="dxa" w:w="4536"/>
          </w:tcPr>
          <w:p>
            <w:r>
              <w:rPr>
                <w:rFonts w:ascii="Times New Roman" w:hAnsi="Times New Roman"/>
                <w:b/>
                <w:sz w:val="20"/>
              </w:rPr>
              <w:t>Regelung</w:t>
            </w:r>
          </w:p>
        </w:tc>
      </w:tr>
      <w:tr>
        <w:tc>
          <w:tcPr>
            <w:tcW w:type="dxa" w:w="4536"/>
          </w:tcPr>
          <w:p>
            <w:r>
              <w:rPr>
                <w:rFonts w:ascii="Times New Roman" w:hAnsi="Times New Roman"/>
                <w:b/>
                <w:sz w:val="20"/>
              </w:rPr>
              <w:t>Gewinn­verteilung</w:t>
            </w:r>
          </w:p>
        </w:tc>
        <w:tc>
          <w:tcPr>
            <w:tcW w:type="dxa" w:w="4536"/>
          </w:tcPr>
          <w:p>
            <w:r>
              <w:rPr>
                <w:rFonts w:ascii="Times New Roman" w:hAnsi="Times New Roman"/>
                <w:sz w:val="20"/>
              </w:rPr>
              <w:t>Pro-rata nach Kommanditanteilen (SWKK 74,9 %, Investor 25,1 %)</w:t>
            </w:r>
          </w:p>
        </w:tc>
      </w:tr>
      <w:tr>
        <w:tc>
          <w:tcPr>
            <w:tcW w:type="dxa" w:w="4536"/>
          </w:tcPr>
          <w:p>
            <w:r>
              <w:rPr>
                <w:rFonts w:ascii="Times New Roman" w:hAnsi="Times New Roman"/>
                <w:b/>
                <w:sz w:val="20"/>
              </w:rPr>
              <w:t>Ausschüttungsquote</w:t>
            </w:r>
          </w:p>
        </w:tc>
        <w:tc>
          <w:tcPr>
            <w:tcW w:type="dxa" w:w="4536"/>
          </w:tcPr>
          <w:p>
            <w:r>
              <w:rPr>
                <w:rFonts w:ascii="Times New Roman" w:hAnsi="Times New Roman"/>
                <w:sz w:val="20"/>
              </w:rPr>
              <w:t>Mindestens 70 % des ausschüttungs­fähigen Ergebnisses p.a.</w:t>
            </w:r>
          </w:p>
        </w:tc>
      </w:tr>
      <w:tr>
        <w:tc>
          <w:tcPr>
            <w:tcW w:type="dxa" w:w="4536"/>
          </w:tcPr>
          <w:p>
            <w:r>
              <w:rPr>
                <w:rFonts w:ascii="Times New Roman" w:hAnsi="Times New Roman"/>
                <w:b/>
                <w:sz w:val="20"/>
              </w:rPr>
              <w:t>Ausschüttungs­beschluss</w:t>
            </w:r>
          </w:p>
        </w:tc>
        <w:tc>
          <w:tcPr>
            <w:tcW w:type="dxa" w:w="4536"/>
          </w:tcPr>
          <w:p>
            <w:r>
              <w:rPr>
                <w:rFonts w:ascii="Times New Roman" w:hAnsi="Times New Roman"/>
                <w:sz w:val="20"/>
              </w:rPr>
              <w:t>Beirat, einfache Mehrheit, binnen 90 Tage nach Jahresabschluss</w:t>
            </w:r>
          </w:p>
        </w:tc>
      </w:tr>
    </w:tbl>
    <w:p/>
    <w:p>
      <w:pPr>
        <w:pStyle w:val="Heading2"/>
      </w:pPr>
      <w:r>
        <w:rPr>
          <w:rFonts w:ascii="Times New Roman" w:hAnsi="Times New Roman"/>
        </w:rPr>
        <w:t>5. Übertragungsbeschränkungen und Exit-Mechanismen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Thema</w:t>
            </w:r>
          </w:p>
        </w:tc>
        <w:tc>
          <w:tcPr>
            <w:tcW w:type="dxa" w:w="4536"/>
          </w:tcPr>
          <w:p>
            <w:r>
              <w:rPr>
                <w:rFonts w:ascii="Times New Roman" w:hAnsi="Times New Roman"/>
                <w:b/>
                <w:sz w:val="20"/>
              </w:rPr>
              <w:t>Regelung</w:t>
            </w:r>
          </w:p>
        </w:tc>
      </w:tr>
      <w:tr>
        <w:tc>
          <w:tcPr>
            <w:tcW w:type="dxa" w:w="4536"/>
          </w:tcPr>
          <w:p>
            <w:r>
              <w:rPr>
                <w:rFonts w:ascii="Times New Roman" w:hAnsi="Times New Roman"/>
                <w:b/>
                <w:sz w:val="20"/>
              </w:rPr>
              <w:t>Lock-up</w:t>
            </w:r>
          </w:p>
        </w:tc>
        <w:tc>
          <w:tcPr>
            <w:tcW w:type="dxa" w:w="4536"/>
          </w:tcPr>
          <w:p>
            <w:r>
              <w:rPr>
                <w:rFonts w:ascii="Times New Roman" w:hAnsi="Times New Roman"/>
                <w:sz w:val="20"/>
              </w:rPr>
              <w:t>Investor: 5 Jahre ab Closing (kein Verkauf ohne SWKK-Zustimmung)</w:t>
            </w:r>
          </w:p>
        </w:tc>
      </w:tr>
      <w:tr>
        <w:tc>
          <w:tcPr>
            <w:tcW w:type="dxa" w:w="4536"/>
          </w:tcPr>
          <w:p>
            <w:r>
              <w:rPr>
                <w:rFonts w:ascii="Times New Roman" w:hAnsi="Times New Roman"/>
                <w:b/>
                <w:sz w:val="20"/>
              </w:rPr>
              <w:t>Tag-along</w:t>
            </w:r>
          </w:p>
        </w:tc>
        <w:tc>
          <w:tcPr>
            <w:tcW w:type="dxa" w:w="4536"/>
          </w:tcPr>
          <w:p>
            <w:r>
              <w:rPr>
                <w:rFonts w:ascii="Times New Roman" w:hAnsi="Times New Roman"/>
                <w:sz w:val="20"/>
              </w:rPr>
              <w:t>Investor erhält Tag-along-Recht: Bei Verkauf SWKK-Anteil &gt; 25 % an Dritten kann Investor mitveräußern (gleiche Konditionen)</w:t>
            </w:r>
          </w:p>
        </w:tc>
      </w:tr>
      <w:tr>
        <w:tc>
          <w:tcPr>
            <w:tcW w:type="dxa" w:w="4536"/>
          </w:tcPr>
          <w:p>
            <w:r>
              <w:rPr>
                <w:rFonts w:ascii="Times New Roman" w:hAnsi="Times New Roman"/>
                <w:b/>
                <w:sz w:val="20"/>
              </w:rPr>
              <w:t>Drag-along</w:t>
            </w:r>
          </w:p>
        </w:tc>
        <w:tc>
          <w:tcPr>
            <w:tcW w:type="dxa" w:w="4536"/>
          </w:tcPr>
          <w:p>
            <w:r>
              <w:rPr>
                <w:rFonts w:ascii="Times New Roman" w:hAnsi="Times New Roman"/>
                <w:sz w:val="20"/>
              </w:rPr>
              <w:t>SWKK kann nach Jahr 10 Investor zum Verkauf verpflichten (Put-Option SWKK), sofern SWKK einen Dritt-Käufer zu mindestens 1,2 × Buchwert des Investor-Anteils präsentiert</w:t>
            </w:r>
          </w:p>
        </w:tc>
      </w:tr>
      <w:tr>
        <w:tc>
          <w:tcPr>
            <w:tcW w:type="dxa" w:w="4536"/>
          </w:tcPr>
          <w:p>
            <w:r>
              <w:rPr>
                <w:rFonts w:ascii="Times New Roman" w:hAnsi="Times New Roman"/>
                <w:b/>
                <w:sz w:val="20"/>
              </w:rPr>
              <w:t>ROFR</w:t>
            </w:r>
          </w:p>
        </w:tc>
        <w:tc>
          <w:tcPr>
            <w:tcW w:type="dxa" w:w="4536"/>
          </w:tcPr>
          <w:p>
            <w:r>
              <w:rPr>
                <w:rFonts w:ascii="Times New Roman" w:hAnsi="Times New Roman"/>
                <w:sz w:val="20"/>
              </w:rPr>
              <w:t>Right of First Refusal: Bei Verkaufsabsicht des Investors gilt SWKK-Vorkaufsrecht (14 Tage Ausübungsfrist nach Benennung des Dritten)</w:t>
            </w:r>
          </w:p>
        </w:tc>
      </w:tr>
      <w:tr>
        <w:tc>
          <w:tcPr>
            <w:tcW w:type="dxa" w:w="4536"/>
          </w:tcPr>
          <w:p>
            <w:r>
              <w:rPr>
                <w:rFonts w:ascii="Times New Roman" w:hAnsi="Times New Roman"/>
                <w:b/>
                <w:sz w:val="20"/>
              </w:rPr>
              <w:t>Exit-Strategie</w:t>
            </w:r>
          </w:p>
        </w:tc>
        <w:tc>
          <w:tcPr>
            <w:tcW w:type="dxa" w:w="4536"/>
          </w:tcPr>
          <w:p>
            <w:r>
              <w:rPr>
                <w:rFonts w:ascii="Times New Roman" w:hAnsi="Times New Roman"/>
                <w:sz w:val="20"/>
              </w:rPr>
              <w:t>Langfristig: IPO an Energiebörse oder Direktverkauf an kommunales Unternehmen (M&amp;A) ab Jahr 10</w:t>
            </w:r>
          </w:p>
        </w:tc>
      </w:tr>
    </w:tbl>
    <w:p/>
    <w:p>
      <w:pPr>
        <w:pStyle w:val="Heading2"/>
      </w:pPr>
      <w:r>
        <w:rPr>
          <w:rFonts w:ascii="Times New Roman" w:hAnsi="Times New Roman"/>
        </w:rPr>
        <w:t>6. Garantien und Gewährleistungen (SWKK als Veräußerer)</w:t>
      </w:r>
    </w:p>
    <w:p>
      <w:pPr>
        <w:jc w:val="left"/>
      </w:pPr>
      <w:r>
        <w:t>SWKK gibt folgende Garantien im Kaufvertrag:</w:t>
      </w:r>
    </w:p>
    <w:p>
      <w:pPr>
        <w:pStyle w:val="ListNumber"/>
      </w:pPr>
      <w:r>
        <w:t>Rechtmäßige Gründung und Existenz der Zielgesellschaft.</w:t>
      </w:r>
    </w:p>
    <w:p>
      <w:pPr>
        <w:pStyle w:val="ListNumber"/>
      </w:pPr>
      <w:r>
        <w:t>Vollständiges und rechtswirksames Eigentum von SWKK am übertragenen KG-Anteil; keine Belastungen, Pfandrechte oder Abtretungen.</w:t>
      </w:r>
    </w:p>
    <w:p>
      <w:pPr>
        <w:pStyle w:val="ListNumber"/>
      </w:pPr>
      <w:r>
        <w:t>Keine anhängigen oder drohenden Rechtsstreitigkeiten, die wesentlichen Einfluss auf die Zielgesellschaft haben.</w:t>
      </w:r>
    </w:p>
    <w:p>
      <w:pPr>
        <w:pStyle w:val="ListNumber"/>
      </w:pPr>
      <w:r>
        <w:t>Vollständigkeit und Richtigkeit der im Datenraum bereitgestellten Dokumente (materielle Vollständigkeit).</w:t>
      </w:r>
    </w:p>
    <w:p>
      <w:pPr>
        <w:pStyle w:val="ListNumber"/>
      </w:pPr>
      <w:r>
        <w:t>Ordnungsgemäße Erfüllung aller energie­rechtlichen Genehmigungs- und Anmeldepflichten (EEG, EnWG, MsbG, BNetzA).</w:t>
      </w:r>
    </w:p>
    <w:p>
      <w:pPr>
        <w:pStyle w:val="ListNumber"/>
      </w:pPr>
      <w:r>
        <w:t>Kein Material Adverse Change seit Locked-Box-Datum.</w:t>
      </w:r>
    </w:p>
    <w:p>
      <w:pPr>
        <w:jc w:val="left"/>
      </w:pPr>
      <w:r>
        <w:rPr>
          <w:b/>
        </w:rPr>
        <w:t>Haftungsbegrenzung:</w:t>
      </w:r>
      <w:r>
        <w:t xml:space="preserve"> Maximale Garantiehaftung von SWKK = 100 % des Kaufpreises für Titelgarantien, 30 % des Kaufpreises für sonstige Garantien. Ausschluss: Schäden, die aus dem DD-Befundbericht des Investors erkennbar waren (Kenntnis­abzug).</w:t>
      </w:r>
    </w:p>
    <w:p/>
    <w:p>
      <w:pPr>
        <w:pStyle w:val="Heading2"/>
      </w:pPr>
      <w:r>
        <w:rPr>
          <w:rFonts w:ascii="Times New Roman" w:hAnsi="Times New Roman"/>
        </w:rPr>
        <w:t>7. Closing-Voraussetzungen (Conditions Precedent)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CP</w:t>
            </w:r>
          </w:p>
        </w:tc>
        <w:tc>
          <w:tcPr>
            <w:tcW w:type="dxa" w:w="3024"/>
          </w:tcPr>
          <w:p>
            <w:r>
              <w:rPr>
                <w:rFonts w:ascii="Times New Roman" w:hAnsi="Times New Roman"/>
                <w:b/>
                <w:sz w:val="20"/>
              </w:rPr>
              <w:t>Zuständig</w:t>
            </w:r>
          </w:p>
        </w:tc>
        <w:tc>
          <w:tcPr>
            <w:tcW w:type="dxa" w:w="3024"/>
          </w:tcPr>
          <w:p>
            <w:r>
              <w:rPr>
                <w:rFonts w:ascii="Times New Roman" w:hAnsi="Times New Roman"/>
                <w:b/>
                <w:sz w:val="20"/>
              </w:rPr>
              <w:t>Frist</w:t>
            </w:r>
          </w:p>
        </w:tc>
      </w:tr>
      <w:tr>
        <w:tc>
          <w:tcPr>
            <w:tcW w:type="dxa" w:w="3024"/>
          </w:tcPr>
          <w:p>
            <w:r>
              <w:rPr>
                <w:rFonts w:ascii="Times New Roman" w:hAnsi="Times New Roman"/>
                <w:sz w:val="20"/>
              </w:rPr>
              <w:t>Freigabe Bundeskartellamt (GWB, § 39 ff.)</w:t>
            </w:r>
          </w:p>
        </w:tc>
        <w:tc>
          <w:tcPr>
            <w:tcW w:type="dxa" w:w="3024"/>
          </w:tcPr>
          <w:p>
            <w:r>
              <w:rPr>
                <w:rFonts w:ascii="Times New Roman" w:hAnsi="Times New Roman"/>
                <w:sz w:val="20"/>
              </w:rPr>
              <w:t>Gemeinsam</w:t>
            </w:r>
          </w:p>
        </w:tc>
        <w:tc>
          <w:tcPr>
            <w:tcW w:type="dxa" w:w="3024"/>
          </w:tcPr>
          <w:p>
            <w:r>
              <w:rPr>
                <w:rFonts w:ascii="Times New Roman" w:hAnsi="Times New Roman"/>
                <w:sz w:val="20"/>
              </w:rPr>
              <w:t>Vor Closing</w:t>
            </w:r>
          </w:p>
        </w:tc>
      </w:tr>
      <w:tr>
        <w:tc>
          <w:tcPr>
            <w:tcW w:type="dxa" w:w="3024"/>
          </w:tcPr>
          <w:p>
            <w:r>
              <w:rPr>
                <w:rFonts w:ascii="Times New Roman" w:hAnsi="Times New Roman"/>
                <w:sz w:val="20"/>
              </w:rPr>
              <w:t>Zustimmung Stadtrat Lüdinghausen (kommunalrechtlich)</w:t>
            </w:r>
          </w:p>
        </w:tc>
        <w:tc>
          <w:tcPr>
            <w:tcW w:type="dxa" w:w="3024"/>
          </w:tcPr>
          <w:p>
            <w:r>
              <w:rPr>
                <w:rFonts w:ascii="Times New Roman" w:hAnsi="Times New Roman"/>
                <w:sz w:val="20"/>
              </w:rPr>
              <w:t>SWKK</w:t>
            </w:r>
          </w:p>
        </w:tc>
        <w:tc>
          <w:tcPr>
            <w:tcW w:type="dxa" w:w="3024"/>
          </w:tcPr>
          <w:p>
            <w:r>
              <w:rPr>
                <w:rFonts w:ascii="Times New Roman" w:hAnsi="Times New Roman"/>
                <w:sz w:val="20"/>
              </w:rPr>
              <w:t>30.04.2026</w:t>
            </w:r>
          </w:p>
        </w:tc>
      </w:tr>
      <w:tr>
        <w:tc>
          <w:tcPr>
            <w:tcW w:type="dxa" w:w="3024"/>
          </w:tcPr>
          <w:p>
            <w:r>
              <w:rPr>
                <w:rFonts w:ascii="Times New Roman" w:hAnsi="Times New Roman"/>
                <w:sz w:val="20"/>
              </w:rPr>
              <w:t>Finaler Abschluss KfW-Darlehensvertrag</w:t>
            </w:r>
          </w:p>
        </w:tc>
        <w:tc>
          <w:tcPr>
            <w:tcW w:type="dxa" w:w="3024"/>
          </w:tcPr>
          <w:p>
            <w:r>
              <w:rPr>
                <w:rFonts w:ascii="Times New Roman" w:hAnsi="Times New Roman"/>
                <w:sz w:val="20"/>
              </w:rPr>
              <w:t>SWKK</w:t>
            </w:r>
          </w:p>
        </w:tc>
        <w:tc>
          <w:tcPr>
            <w:tcW w:type="dxa" w:w="3024"/>
          </w:tcPr>
          <w:p>
            <w:r>
              <w:rPr>
                <w:rFonts w:ascii="Times New Roman" w:hAnsi="Times New Roman"/>
                <w:sz w:val="20"/>
              </w:rPr>
              <w:t>30.04.2026</w:t>
            </w:r>
          </w:p>
        </w:tc>
      </w:tr>
      <w:tr>
        <w:tc>
          <w:tcPr>
            <w:tcW w:type="dxa" w:w="3024"/>
          </w:tcPr>
          <w:p>
            <w:r>
              <w:rPr>
                <w:rFonts w:ascii="Times New Roman" w:hAnsi="Times New Roman"/>
                <w:sz w:val="20"/>
              </w:rPr>
              <w:t>Beurkundung KG-Gesellschafts­vertrag (Notar)</w:t>
            </w:r>
          </w:p>
        </w:tc>
        <w:tc>
          <w:tcPr>
            <w:tcW w:type="dxa" w:w="3024"/>
          </w:tcPr>
          <w:p>
            <w:r>
              <w:rPr>
                <w:rFonts w:ascii="Times New Roman" w:hAnsi="Times New Roman"/>
                <w:sz w:val="20"/>
              </w:rPr>
              <w:t>Gemeinsam</w:t>
            </w:r>
          </w:p>
        </w:tc>
        <w:tc>
          <w:tcPr>
            <w:tcW w:type="dxa" w:w="3024"/>
          </w:tcPr>
          <w:p>
            <w:r>
              <w:rPr>
                <w:rFonts w:ascii="Times New Roman" w:hAnsi="Times New Roman"/>
                <w:sz w:val="20"/>
              </w:rPr>
              <w:t>15.05.2026</w:t>
            </w:r>
          </w:p>
        </w:tc>
      </w:tr>
      <w:tr>
        <w:tc>
          <w:tcPr>
            <w:tcW w:type="dxa" w:w="3024"/>
          </w:tcPr>
          <w:p>
            <w:r>
              <w:rPr>
                <w:rFonts w:ascii="Times New Roman" w:hAnsi="Times New Roman"/>
                <w:sz w:val="20"/>
              </w:rPr>
              <w:t>Beurkundung Abtretungsvertrag KG-Anteil (Notar)</w:t>
            </w:r>
          </w:p>
        </w:tc>
        <w:tc>
          <w:tcPr>
            <w:tcW w:type="dxa" w:w="3024"/>
          </w:tcPr>
          <w:p>
            <w:r>
              <w:rPr>
                <w:rFonts w:ascii="Times New Roman" w:hAnsi="Times New Roman"/>
                <w:sz w:val="20"/>
              </w:rPr>
              <w:t>Gemeinsam</w:t>
            </w:r>
          </w:p>
        </w:tc>
        <w:tc>
          <w:tcPr>
            <w:tcW w:type="dxa" w:w="3024"/>
          </w:tcPr>
          <w:p>
            <w:r>
              <w:rPr>
                <w:rFonts w:ascii="Times New Roman" w:hAnsi="Times New Roman"/>
                <w:sz w:val="20"/>
              </w:rPr>
              <w:t>Closing-Datum</w:t>
            </w:r>
          </w:p>
        </w:tc>
      </w:tr>
      <w:tr>
        <w:tc>
          <w:tcPr>
            <w:tcW w:type="dxa" w:w="3024"/>
          </w:tcPr>
          <w:p>
            <w:r>
              <w:rPr>
                <w:rFonts w:ascii="Times New Roman" w:hAnsi="Times New Roman"/>
                <w:sz w:val="20"/>
              </w:rPr>
              <w:t>Kein MAC seit Locked-Box-Datum</w:t>
            </w:r>
          </w:p>
        </w:tc>
        <w:tc>
          <w:tcPr>
            <w:tcW w:type="dxa" w:w="3024"/>
          </w:tcPr>
          <w:p>
            <w:r>
              <w:rPr>
                <w:rFonts w:ascii="Times New Roman" w:hAnsi="Times New Roman"/>
                <w:sz w:val="20"/>
              </w:rPr>
              <w:t>Investor-Bestätigung</w:t>
            </w:r>
          </w:p>
        </w:tc>
        <w:tc>
          <w:tcPr>
            <w:tcW w:type="dxa" w:w="3024"/>
          </w:tcPr>
          <w:p>
            <w:r>
              <w:rPr>
                <w:rFonts w:ascii="Times New Roman" w:hAnsi="Times New Roman"/>
                <w:sz w:val="20"/>
              </w:rPr>
              <w:t>Closing-Datum</w:t>
            </w:r>
          </w:p>
        </w:tc>
      </w:tr>
      <w:tr>
        <w:tc>
          <w:tcPr>
            <w:tcW w:type="dxa" w:w="3024"/>
          </w:tcPr>
          <w:p>
            <w:r>
              <w:rPr>
                <w:rFonts w:ascii="Times New Roman" w:hAnsi="Times New Roman"/>
                <w:sz w:val="20"/>
              </w:rPr>
              <w:t>Ablösung etwaiger Altlasten­verbindlichkeiten</w:t>
            </w:r>
          </w:p>
        </w:tc>
        <w:tc>
          <w:tcPr>
            <w:tcW w:type="dxa" w:w="3024"/>
          </w:tcPr>
          <w:p>
            <w:r>
              <w:rPr>
                <w:rFonts w:ascii="Times New Roman" w:hAnsi="Times New Roman"/>
                <w:sz w:val="20"/>
              </w:rPr>
              <w:t>SWKK</w:t>
            </w:r>
          </w:p>
        </w:tc>
        <w:tc>
          <w:tcPr>
            <w:tcW w:type="dxa" w:w="3024"/>
          </w:tcPr>
          <w:p>
            <w:r>
              <w:rPr>
                <w:rFonts w:ascii="Times New Roman" w:hAnsi="Times New Roman"/>
                <w:sz w:val="20"/>
              </w:rPr>
              <w:t>Closing-Datum</w:t>
            </w:r>
          </w:p>
        </w:tc>
      </w:tr>
    </w:tbl>
    <w:p>
      <w:pPr>
        <w:jc w:val="left"/>
      </w:pPr>
      <w:r>
        <w:rPr>
          <w:b/>
        </w:rPr>
        <w:t>Geplantes Closing-Datum:</w:t>
      </w:r>
      <w:r>
        <w:t xml:space="preserve"> 30. Juni 2026</w:t>
      </w:r>
    </w:p>
    <w:p/>
    <w:p>
      <w:pPr>
        <w:pStyle w:val="Heading2"/>
      </w:pPr>
      <w:r>
        <w:rPr>
          <w:rFonts w:ascii="Times New Roman" w:hAnsi="Times New Roman"/>
        </w:rPr>
        <w:t>8. Exklusivität (verbindlich)</w:t>
      </w:r>
    </w:p>
    <w:p>
      <w:pPr>
        <w:jc w:val="left"/>
      </w:pPr>
      <w:r>
        <w:t>Ab Unterzeichnung dieses Term Sheets (Datum der Paraphierung) und bis zum 31. März 2026 verpflichtet sich SWKK, mit keinem anderen potenziellen Investor über eine Beteiligung an der Zielgesellschaft zu verhandeln oder ein anderes Term Sheet oder Letter of Intent zu unterzeichnen. Bei Verletzung dieser Exklusivitätsverpflichtung zahlt SWKK an den Investor eine Vertragsstrafe von 150.000 EUR.</w:t>
      </w:r>
    </w:p>
    <w:p>
      <w:pPr>
        <w:pStyle w:val="Heading2"/>
      </w:pPr>
      <w:r>
        <w:rPr>
          <w:rFonts w:ascii="Times New Roman" w:hAnsi="Times New Roman"/>
        </w:rPr>
        <w:t>9. Vertraulichkeit (verbindlich)</w:t>
      </w:r>
    </w:p>
    <w:p>
      <w:pPr>
        <w:jc w:val="left"/>
      </w:pPr>
      <w:r>
        <w:t>Die Parteien sind zur Verschwiegenheit über Inhalt und Existenz dieses Term Sheets und aller Verhandlungen verpflichtet, soweit keine gesetzlichen Veröffentlichungspflichten bestehen. Die Vertraulichkeitspflicht gilt für 3 Jahre ab Unterzeichnung.</w:t>
      </w:r>
    </w:p>
    <w:p/>
    <w:p>
      <w:pPr>
        <w:pStyle w:val="Heading2"/>
      </w:pPr>
      <w:r>
        <w:rPr>
          <w:rFonts w:ascii="Times New Roman" w:hAnsi="Times New Roman"/>
        </w:rPr>
        <w:t>10. Nächste 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Frist</w:t>
            </w:r>
          </w:p>
        </w:tc>
        <w:tc>
          <w:tcPr>
            <w:tcW w:type="dxa" w:w="3024"/>
          </w:tcPr>
          <w:p>
            <w:r>
              <w:rPr>
                <w:rFonts w:ascii="Times New Roman" w:hAnsi="Times New Roman"/>
                <w:b/>
                <w:sz w:val="20"/>
              </w:rPr>
              <w:t>Zuständig</w:t>
            </w:r>
          </w:p>
        </w:tc>
      </w:tr>
      <w:tr>
        <w:tc>
          <w:tcPr>
            <w:tcW w:type="dxa" w:w="3024"/>
          </w:tcPr>
          <w:p>
            <w:r>
              <w:rPr>
                <w:rFonts w:ascii="Times New Roman" w:hAnsi="Times New Roman"/>
                <w:sz w:val="20"/>
              </w:rPr>
              <w:t>Finalisierung DD-Berichte</w:t>
            </w:r>
          </w:p>
        </w:tc>
        <w:tc>
          <w:tcPr>
            <w:tcW w:type="dxa" w:w="3024"/>
          </w:tcPr>
          <w:p>
            <w:r>
              <w:rPr>
                <w:rFonts w:ascii="Times New Roman" w:hAnsi="Times New Roman"/>
                <w:sz w:val="20"/>
              </w:rPr>
              <w:t>31.01.2026</w:t>
            </w:r>
          </w:p>
        </w:tc>
        <w:tc>
          <w:tcPr>
            <w:tcW w:type="dxa" w:w="3024"/>
          </w:tcPr>
          <w:p>
            <w:r>
              <w:rPr>
                <w:rFonts w:ascii="Times New Roman" w:hAnsi="Times New Roman"/>
                <w:sz w:val="20"/>
              </w:rPr>
              <w:t>Investor / Berater</w:t>
            </w:r>
          </w:p>
        </w:tc>
      </w:tr>
      <w:tr>
        <w:tc>
          <w:tcPr>
            <w:tcW w:type="dxa" w:w="3024"/>
          </w:tcPr>
          <w:p>
            <w:r>
              <w:rPr>
                <w:rFonts w:ascii="Times New Roman" w:hAnsi="Times New Roman"/>
                <w:sz w:val="20"/>
              </w:rPr>
              <w:t>Entwurf Kaufvertrag</w:t>
            </w:r>
          </w:p>
        </w:tc>
        <w:tc>
          <w:tcPr>
            <w:tcW w:type="dxa" w:w="3024"/>
          </w:tcPr>
          <w:p>
            <w:r>
              <w:rPr>
                <w:rFonts w:ascii="Times New Roman" w:hAnsi="Times New Roman"/>
                <w:sz w:val="20"/>
              </w:rPr>
              <w:t>28.02.2026</w:t>
            </w:r>
          </w:p>
        </w:tc>
        <w:tc>
          <w:tcPr>
            <w:tcW w:type="dxa" w:w="3024"/>
          </w:tcPr>
          <w:p>
            <w:r>
              <w:rPr>
                <w:rFonts w:ascii="Times New Roman" w:hAnsi="Times New Roman"/>
                <w:sz w:val="20"/>
              </w:rPr>
              <w:t>Kanzlei Investor</w:t>
            </w:r>
          </w:p>
        </w:tc>
      </w:tr>
      <w:tr>
        <w:tc>
          <w:tcPr>
            <w:tcW w:type="dxa" w:w="3024"/>
          </w:tcPr>
          <w:p>
            <w:r>
              <w:rPr>
                <w:rFonts w:ascii="Times New Roman" w:hAnsi="Times New Roman"/>
                <w:sz w:val="20"/>
              </w:rPr>
              <w:t>Verhandlung Gesellschaftsvertrag KG</w:t>
            </w:r>
          </w:p>
        </w:tc>
        <w:tc>
          <w:tcPr>
            <w:tcW w:type="dxa" w:w="3024"/>
          </w:tcPr>
          <w:p>
            <w:r>
              <w:rPr>
                <w:rFonts w:ascii="Times New Roman" w:hAnsi="Times New Roman"/>
                <w:sz w:val="20"/>
              </w:rPr>
              <w:t>31.03.2026</w:t>
            </w:r>
          </w:p>
        </w:tc>
        <w:tc>
          <w:tcPr>
            <w:tcW w:type="dxa" w:w="3024"/>
          </w:tcPr>
          <w:p>
            <w:r>
              <w:rPr>
                <w:rFonts w:ascii="Times New Roman" w:hAnsi="Times New Roman"/>
                <w:sz w:val="20"/>
              </w:rPr>
              <w:t>Beide Parteien</w:t>
            </w:r>
          </w:p>
        </w:tc>
      </w:tr>
      <w:tr>
        <w:tc>
          <w:tcPr>
            <w:tcW w:type="dxa" w:w="3024"/>
          </w:tcPr>
          <w:p>
            <w:r>
              <w:rPr>
                <w:rFonts w:ascii="Times New Roman" w:hAnsi="Times New Roman"/>
                <w:sz w:val="20"/>
              </w:rPr>
              <w:t>Einholung Stadtratsbeschluss</w:t>
            </w:r>
          </w:p>
        </w:tc>
        <w:tc>
          <w:tcPr>
            <w:tcW w:type="dxa" w:w="3024"/>
          </w:tcPr>
          <w:p>
            <w:r>
              <w:rPr>
                <w:rFonts w:ascii="Times New Roman" w:hAnsi="Times New Roman"/>
                <w:sz w:val="20"/>
              </w:rPr>
              <w:t>30.04.2026</w:t>
            </w:r>
          </w:p>
        </w:tc>
        <w:tc>
          <w:tcPr>
            <w:tcW w:type="dxa" w:w="3024"/>
          </w:tcPr>
          <w:p>
            <w:r>
              <w:rPr>
                <w:rFonts w:ascii="Times New Roman" w:hAnsi="Times New Roman"/>
                <w:sz w:val="20"/>
              </w:rPr>
              <w:t>SWKK</w:t>
            </w:r>
          </w:p>
        </w:tc>
      </w:tr>
      <w:tr>
        <w:tc>
          <w:tcPr>
            <w:tcW w:type="dxa" w:w="3024"/>
          </w:tcPr>
          <w:p>
            <w:r>
              <w:rPr>
                <w:rFonts w:ascii="Times New Roman" w:hAnsi="Times New Roman"/>
                <w:sz w:val="20"/>
              </w:rPr>
              <w:t>Beurkundung und Closing</w:t>
            </w:r>
          </w:p>
        </w:tc>
        <w:tc>
          <w:tcPr>
            <w:tcW w:type="dxa" w:w="3024"/>
          </w:tcPr>
          <w:p>
            <w:r>
              <w:rPr>
                <w:rFonts w:ascii="Times New Roman" w:hAnsi="Times New Roman"/>
                <w:sz w:val="20"/>
              </w:rPr>
              <w:t>30.06.2026</w:t>
            </w:r>
          </w:p>
        </w:tc>
        <w:tc>
          <w:tcPr>
            <w:tcW w:type="dxa" w:w="3024"/>
          </w:tcPr>
          <w:p>
            <w:r>
              <w:rPr>
                <w:rFonts w:ascii="Times New Roman" w:hAnsi="Times New Roman"/>
                <w:sz w:val="20"/>
              </w:rPr>
              <w:t>Gemeinsam</w:t>
            </w:r>
          </w:p>
        </w:tc>
      </w:tr>
    </w:tbl>
    <w:p/>
    <w:p>
      <w:pPr>
        <w:jc w:val="left"/>
      </w:pPr>
      <w:r>
        <w:rPr>
          <w:b/>
        </w:rPr>
        <w:t>Lüdinghausen / München, den 20. Januar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SWKK</w:t>
            </w:r>
          </w:p>
        </w:tc>
        <w:tc>
          <w:tcPr>
            <w:tcW w:type="dxa" w:w="4536"/>
          </w:tcPr>
          <w:p>
            <w:r>
              <w:rPr>
                <w:rFonts w:ascii="Times New Roman" w:hAnsi="Times New Roman"/>
                <w:b/>
                <w:sz w:val="20"/>
              </w:rPr>
              <w:t>Investor</w:t>
            </w:r>
          </w:p>
        </w:tc>
      </w:tr>
      <w:tr>
        <w:tc>
          <w:tcPr>
            <w:tcW w:type="dxa" w:w="4536"/>
          </w:tcPr>
          <w:p>
            <w:r>
              <w:rPr>
                <w:rFonts w:ascii="Times New Roman" w:hAnsi="Times New Roman"/>
                <w:sz w:val="20"/>
              </w:rPr>
              <w:t>Dr. Gerda Wohlfahrt</w:t>
            </w:r>
          </w:p>
        </w:tc>
        <w:tc>
          <w:tcPr>
            <w:tcW w:type="dxa" w:w="4536"/>
          </w:tcPr>
          <w:p>
            <w:r>
              <w:rPr>
                <w:rFonts w:ascii="Times New Roman" w:hAnsi="Times New Roman"/>
                <w:sz w:val="20"/>
              </w:rPr>
              <w:t>[Geschäftsführung SWB Bayern mbH]</w:t>
            </w:r>
          </w:p>
        </w:tc>
      </w:tr>
      <w:tr>
        <w:tc>
          <w:tcPr>
            <w:tcW w:type="dxa" w:w="4536"/>
          </w:tcPr>
          <w:p>
            <w:r>
              <w:rPr>
                <w:rFonts w:ascii="Times New Roman" w:hAnsi="Times New Roman"/>
                <w:sz w:val="20"/>
              </w:rPr>
              <w:t>(paraphiert)</w:t>
            </w:r>
          </w:p>
        </w:tc>
        <w:tc>
          <w:tcPr>
            <w:tcW w:type="dxa" w:w="4536"/>
          </w:tcPr>
          <w:p>
            <w:r>
              <w:rPr>
                <w:rFonts w:ascii="Times New Roman" w:hAnsi="Times New Roman"/>
                <w:sz w:val="20"/>
              </w:rPr>
              <w:t>(paraphiert)</w:t>
            </w:r>
          </w:p>
        </w:tc>
      </w:tr>
    </w:tbl>
    <w:p/>
    <w:p>
      <w:pPr>
        <w:jc w:val="left"/>
      </w:pPr>
      <w:r>
        <w:rPr>
          <w:i/>
        </w:rPr>
        <w:t>Vertraulich. Nur für die Vertragsparteien und ihre bevollmächtigten Berater bestimmt. Kanzlei Bernauer &amp; Partnerinnen, Münster.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Anteilserwerb Hafenbogen Energie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Anteilserwerb Hafenbogen Energie GmbH &amp; Co. KG</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