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Bankability-Prüfung und PPA-Check – Hafenbogen Energie GmbH &amp; Co. KG</w:t>
      </w:r>
    </w:p>
    <w:p>
      <w:pPr>
        <w:jc w:val="left"/>
      </w:pPr>
      <w:r>
        <w:rPr>
          <w:b/>
        </w:rPr>
        <w:t>Dokument-Nr.:</w:t>
      </w:r>
      <w:r>
        <w:t xml:space="preserve"> SWKK-BANK-2026-01</w:t>
      </w:r>
    </w:p>
    <w:p>
      <w:pPr>
        <w:jc w:val="left"/>
      </w:pPr>
      <w:r>
        <w:rPr>
          <w:b/>
        </w:rPr>
        <w:t>Stand:</w:t>
      </w:r>
      <w:r>
        <w:t xml:space="preserve"> März 2026</w:t>
      </w:r>
    </w:p>
    <w:p>
      <w:pPr>
        <w:jc w:val="left"/>
      </w:pPr>
      <w:r>
        <w:rPr>
          <w:b/>
        </w:rPr>
        <w:t>Verfasser:</w:t>
      </w:r>
      <w:r>
        <w:t xml:space="preserve"> RA Thomas Bernauer, Kanzlei Bernauer &amp; Partnerinnen</w:t>
      </w:r>
    </w:p>
    <w:p>
      <w:pPr>
        <w:jc w:val="left"/>
      </w:pPr>
      <w:r>
        <w:rPr>
          <w:b/>
        </w:rPr>
        <w:t>Adressat:</w:t>
      </w:r>
      <w:r>
        <w:t xml:space="preserve"> Stadtwerke Klotzkette AG und Stadtwerke-Beteiligungsgesellschaft Bayern mbH</w:t>
      </w:r>
    </w:p>
    <w:p/>
    <w:p>
      <w:pPr>
        <w:pStyle w:val="Heading2"/>
      </w:pPr>
      <w:r>
        <w:rPr>
          <w:rFonts w:ascii="Times New Roman" w:hAnsi="Times New Roman"/>
        </w:rPr>
        <w:t>1. Zweck des Dokuments</w:t>
      </w:r>
    </w:p>
    <w:p>
      <w:pPr>
        <w:jc w:val="left"/>
      </w:pPr>
      <w:r>
        <w:t>Dieses Dokument prüft die Bankability (Finanzierungsfähigkeit am Kapitalmarkt) des Projekts Hafenbogen Energie GmbH &amp; Co. KG aus Sicht eines Fremdkapitalgebers. Es analysiert den vorliegenden PPA-Entwurf, die EEG-Förderfähigkeit, den Status der Bau- und Betriebsgenehmigungen sowie die Sicherheitenstruktur.</w:t>
      </w:r>
    </w:p>
    <w:p/>
    <w:p>
      <w:pPr>
        <w:pStyle w:val="Heading2"/>
      </w:pPr>
      <w:r>
        <w:rPr>
          <w:rFonts w:ascii="Times New Roman" w:hAnsi="Times New Roman"/>
        </w:rPr>
        <w:t>2. PPA-Prüfung</w:t>
      </w:r>
    </w:p>
    <w:p>
      <w:pPr>
        <w:pStyle w:val="Heading3"/>
      </w:pPr>
      <w:r>
        <w:rPr>
          <w:rFonts w:ascii="Times New Roman" w:hAnsi="Times New Roman"/>
        </w:rPr>
        <w:t>2.1 Vertragsparteien und Laufzeit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PPA-Lieferant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Hafenbogen Energie GmbH &amp; Co. KG (Zielgesellschaft)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PPA-Abnehmer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EnPremium GmbH, Düsseldorf (Direktvermarktungshändler)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Vertragsdatum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 April 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Laufzeit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 Jahre (bis 30.04.2037)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Liefermenge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480 MWh/a (Überschusseinspeisung nach Mieterstrom und Speicherbeladung)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PPA-Preis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58,00 EUR/MWh (fest, Jahr 1–5); Indexierung ab Jahr 6: EPEX-Spot-Base + 5 EUR/MWh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Rechtliche Bewertung</w:t>
      </w:r>
    </w:p>
    <w:p>
      <w:pPr>
        <w:jc w:val="left"/>
      </w:pPr>
      <w:r>
        <w:rPr>
          <w:b/>
        </w:rPr>
        <w:t>Stärken:</w:t>
      </w:r>
    </w:p>
    <w:p>
      <w:pPr>
        <w:pStyle w:val="ListBullet"/>
      </w:pPr>
      <w:r>
        <w:t>12-jährige Laufzeit gibt stabilen Cash-Flow-Anker für Fremdkapitalgeber.</w:t>
      </w:r>
    </w:p>
    <w:p>
      <w:pPr>
        <w:pStyle w:val="ListBullet"/>
      </w:pPr>
      <w:r>
        <w:t>EnPremium GmbH verfügt über Investment-Grade-Rating (BBB+, Moody's Stand Q4 2025).</w:t>
      </w:r>
    </w:p>
    <w:p>
      <w:pPr>
        <w:pStyle w:val="ListBullet"/>
      </w:pPr>
      <w:r>
        <w:t>Festpreisphase 5 Jahre deckt kritische Amortisationsphase ab.</w:t>
      </w:r>
    </w:p>
    <w:p>
      <w:pPr>
        <w:jc w:val="left"/>
      </w:pPr>
      <w:r>
        <w:rPr>
          <w:b/>
        </w:rPr>
        <w:t>Schwächen / offene Punkte:</w:t>
      </w:r>
    </w:p>
    <w:p>
      <w:pPr>
        <w:pStyle w:val="ListBullet"/>
      </w:pPr>
      <w:r>
        <w:t>Bilanzkreisverantwortung (BKV) nicht klar geregelt (DD-01). → Muss vor Closing behoben werden.</w:t>
      </w:r>
    </w:p>
    <w:p>
      <w:pPr>
        <w:pStyle w:val="ListBullet"/>
      </w:pPr>
      <w:r>
        <w:t>Force-Majeure-Klausel schließt Netzengpass (Einspeisemanagement nach § 14 EEG) aus den Zahlungspflichten aus. → Bei Engpassregionen kann dies zu Erlösausfällen führen; Fremdkapitalgeber werden Erlösausfallmodell verlangen.</w:t>
      </w:r>
    </w:p>
    <w:p>
      <w:pPr>
        <w:pStyle w:val="ListBullet"/>
      </w:pPr>
      <w:r>
        <w:t>Keine Volumenjustierung: PPA geht von 480 MWh/a aus; bei höherer Eigenverbrauchsquote sinkt Einspeisung. Banken werden Sensitivitätsanalyse mit +/−20 % Produktionsabweichung einfordern.</w:t>
      </w:r>
    </w:p>
    <w:p>
      <w:pPr>
        <w:jc w:val="left"/>
      </w:pPr>
      <w:r>
        <w:rPr>
          <w:b/>
        </w:rPr>
        <w:t>Empfehlung:</w:t>
      </w:r>
      <w:r>
        <w:t xml:space="preserve"> PPA-Nachtrag zu BKV und Force-Majeure (wie in DD-01 beschrieben). PPA ist grundsätzlich bankable; Restpunkte sind lösbar.</w:t>
      </w:r>
    </w:p>
    <w:p/>
    <w:p>
      <w:pPr>
        <w:pStyle w:val="Heading2"/>
      </w:pPr>
      <w:r>
        <w:rPr>
          <w:rFonts w:ascii="Times New Roman" w:hAnsi="Times New Roman"/>
        </w:rPr>
        <w:t>3. EEG-Förderfähigkeit (Direktvermarktung und Mieterstromzuschlag)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Leistung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EEG-Vergütungsform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PV-Anlage A–E (je 240 kWp)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 × 240 kWp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Mieterstromzuschlag (§ 21 Abs. 3 EEG) für Mieterstrom; Marktprämie (§ 20 EEG) für Einspeisung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Antrag in Vorbereitung; Inbetriebnahme 31.12.2026</w:t>
            </w:r>
          </w:p>
        </w:tc>
      </w:tr>
    </w:tbl>
    <w:p>
      <w:pPr>
        <w:jc w:val="left"/>
      </w:pPr>
      <w:r>
        <w:rPr>
          <w:b/>
        </w:rPr>
        <w:t>Mieterstromzuschlag (§ 21 Abs. 3 EEG):</w:t>
      </w:r>
      <w:r>
        <w:t xml:space="preserve"> Betrag laut Bundesanzeiger (2026): ca. 3,8 Cent/kWh (je nach Anlagengröße, variiert). Für die fünf Teilanlagen zusammen prognostiziert: ca. 120.000 EUR/a (bei 300 MWh/a Mieterstromlieferung × 5 Anlagen × 3,8 Cent/kWh – Deckungsquote ca. 55 %). Der Zuschlag wird für 20 Jahre ab Inbetriebnahme gezahlt.</w:t>
      </w:r>
    </w:p>
    <w:p>
      <w:pPr>
        <w:jc w:val="left"/>
      </w:pPr>
      <w:r>
        <w:rPr>
          <w:b/>
        </w:rPr>
        <w:t>Marktprämie Einspeisung:</w:t>
      </w:r>
      <w:r>
        <w:t xml:space="preserve"> Die überschüssigen ca. 480 MWh/a werden über EnPremium GmbH im PPA vermarktet; der anzulegende Wert nach § 23a EEG 2023 beträgt für PV-Anlagen 100–750 kW: ca. 58–68 EUR/MWh (Stand 2026). Da der PPA-Festpreis in den ersten 5 Jahren ≤ des anzulegenden Werts liegt, ist keine Marktprämien-Über­kompensation zu erwarten.</w:t>
      </w:r>
    </w:p>
    <w:p/>
    <w:p>
      <w:pPr>
        <w:pStyle w:val="Heading2"/>
      </w:pPr>
      <w:r>
        <w:rPr>
          <w:rFonts w:ascii="Times New Roman" w:hAnsi="Times New Roman"/>
        </w:rPr>
        <w:t>4. Genehmigungsstatus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Genehmigung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Referenz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Baugenehmigung Gebäude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Erteilt (28.02.2025)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Az. BA-2024-0312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Netzanschlussangebot MS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 (07.01.2025)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Az. NGW/NANS/2025-0038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Annahme Netzanschlussangebot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Ausstehend (Frist 30.06.2026)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Kritisch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BImSchG Kessel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erforderlich (&lt; 1 MW)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Rechtsvermerk Bernauer 10.12.2024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BNetzA Wärmeleitung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Bearbeitung (Stellungnahme 02.06.2026)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Az. 8615-EnW/0193/2026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Erbbaurechtsvertrag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 30.06.2024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 Dr. Fromme, Münster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EEG-Registrierung PV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Voranmeldung MaStR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Finale Anmeldung nach Baubeginn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KfW-Förderung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gestellt 12.03.2026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Bewilligung ausstehend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BAFA-Zuschuss Wärmepumpe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gestellt 20.02.2026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Bewilligung ausstehend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Sicherheitenstruktur für Fremdkapitalgeber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Sicherheit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Rang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Grundschuld auf Erbbaurecht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3.000.000 EUR (Grundpfandrecht zugunsten Sparkasse Lüdinghausen)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 Rang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Abtretung PPA-Forderungen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Abtretung der PPA-Zahlungsansprüche (EnPremium GmbH → Sparkasse)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Vorrang Sparkasse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Verpfändung KG-Anteile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SWKK-Anteile an Hafenbogen Energie GmbH &amp; Co. KG (zur Absicherung KfW-Darlehen)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 um Zug mit KfW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Wärmepumpen-/PV-Anlagenversicherung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Maschinenbruch + Betriebsunterbrechung, Deckung 8.000.000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Erlöskonto (Escrow)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Monatlich bewirtschaftetes Erlöskonto; Ausschüttung erst nach Bedienung Schuldendienst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Sparkasse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Patronatserklärung SWKK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Softverpfändung durch SWKK als Muttergesellschaft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Nachrangig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Technische Due Diligence – Lückenliste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Handlungsbedarf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Hydrogeologisches Gutachten Grundwasserbrunnen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Ausstehend (Beauftragung April 2026)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Technischer Bericht Groß­wärme­pumpe (Hersteller-Angebot)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Angebot Viessmann + Vaillant vorhanden; Festauftrag ausstehend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Unabhängiges Ertragsgutachten PV (P50/P90)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Ausstehend (Beauftragung geplant Mai 2026)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Brandschutz­konzept Wärmezentrale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Planung in Arbeit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Netzanschlussbestätigung MS (signed)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Ausstehend (abhängig von Angebotsannahme)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Betriebsführungsvertrag (O&amp;M)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 SWKK intern; Fremdvergabe an ENGIE Deutschland geprüft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7. Fazit Bankability</w:t>
      </w:r>
    </w:p>
    <w:p>
      <w:pPr>
        <w:jc w:val="left"/>
      </w:pPr>
      <w:r>
        <w:t xml:space="preserve">Das Projekt Hafenbogen ist </w:t>
      </w:r>
      <w:r>
        <w:rPr>
          <w:b/>
        </w:rPr>
        <w:t>grundsätzlich bankable</w:t>
      </w:r>
      <w:r>
        <w:t>, weist aber mehrere zeitkritische Offene-Punkte auf, die vor Kreditzusage der Sparkasse bzw. Closing der Investorentransaktion zu schließen sind:</w:t>
      </w:r>
    </w:p>
    <w:p>
      <w:pPr>
        <w:pStyle w:val="ListNumber"/>
      </w:pPr>
      <w:r>
        <w:rPr>
          <w:b/>
        </w:rPr>
        <w:t>Netzanschlussangebot annehmen</w:t>
      </w:r>
      <w:r>
        <w:t xml:space="preserve"> (sofort, Frist 30.06.2026) – Bankabilität ohne Netzanschluss nicht darstellbar.</w:t>
      </w:r>
    </w:p>
    <w:p>
      <w:pPr>
        <w:pStyle w:val="ListNumber"/>
      </w:pPr>
      <w:r>
        <w:rPr>
          <w:b/>
        </w:rPr>
        <w:t>PPA-Nachtrag BKV</w:t>
      </w:r>
      <w:r>
        <w:t xml:space="preserve"> unterzeichnen.</w:t>
      </w:r>
    </w:p>
    <w:p>
      <w:pPr>
        <w:pStyle w:val="ListNumber"/>
      </w:pPr>
      <w:r>
        <w:rPr>
          <w:b/>
        </w:rPr>
        <w:t>BNetzA-Bescheid</w:t>
      </w:r>
      <w:r>
        <w:t xml:space="preserve"> formal abschließen (Stellungnahme 02.06.2026).</w:t>
      </w:r>
    </w:p>
    <w:p>
      <w:pPr>
        <w:pStyle w:val="ListNumber"/>
      </w:pPr>
      <w:r>
        <w:rPr>
          <w:b/>
        </w:rPr>
        <w:t>Hydrogeologisches Gutachten</w:t>
      </w:r>
      <w:r>
        <w:t xml:space="preserve"> und </w:t>
      </w:r>
      <w:r>
        <w:rPr>
          <w:b/>
        </w:rPr>
        <w:t>PV-Ertragsgutachten</w:t>
      </w:r>
      <w:r>
        <w:t xml:space="preserve"> vorlegen.</w:t>
      </w:r>
    </w:p>
    <w:p>
      <w:pPr>
        <w:pStyle w:val="ListNumber"/>
      </w:pPr>
      <w:r>
        <w:rPr>
          <w:b/>
        </w:rPr>
        <w:t>EEG-Mieterstromzuschlag</w:t>
      </w:r>
      <w:r>
        <w:t xml:space="preserve"> nach Inbetriebnahme beantragen.</w:t>
      </w:r>
    </w:p>
    <w:p>
      <w:pPr>
        <w:jc w:val="left"/>
      </w:pPr>
      <w:r>
        <w:t>Werden diese Punkte zeitgerecht adressiert, ist von einer positiven Kreditentscheidung der Sparkasse Lüdinghausen (Darlehen 3.000.000 EUR) und KfW (2.600.000 EUR) auszugehen.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Hafenbogen Energie GmbH &amp; Co. KG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Hafenbogen Energie GmbH &amp; Co. KG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