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KANZLEIVERMERK</w:t>
      </w:r>
    </w:p>
    <w:p>
      <w:pPr>
        <w:widowControl/>
        <w:spacing w:after="40"/>
      </w:pPr>
      <w:r>
        <w:rPr>
          <w:rFonts w:ascii="Arial" w:hAnsi="Arial" w:eastAsia="Arial"/>
          <w:b/>
          <w:sz w:val="25"/>
        </w:rPr>
        <w:t>Petersen &amp; Hagedorn Rechtsanwälte</w:t>
      </w:r>
    </w:p>
    <w:p>
      <w:pPr>
        <w:widowControl/>
        <w:spacing w:after="200"/>
      </w:pPr>
      <w:r>
        <w:rPr>
          <w:rFonts w:ascii="Arial" w:hAnsi="Arial" w:eastAsia="Arial"/>
          <w:color w:val="586069"/>
          <w:sz w:val="17"/>
        </w:rPr>
        <w:t>Fachbereich Erbrecht | Friedrichstraße 21 | 25980 Sylt | Telefon 04651 882140</w:t>
      </w:r>
    </w:p>
    <w:p>
      <w:pPr>
        <w:widowControl/>
        <w:spacing w:after="160"/>
      </w:pPr>
      <w:r>
        <w:rPr>
          <w:rFonts w:ascii="Arial" w:hAnsi="Arial" w:eastAsia="Arial"/>
        </w:rPr>
        <w:t>Intern - elektronische Handakte</w:t>
      </w:r>
    </w:p>
    <w:p>
      <w:pPr>
        <w:widowControl/>
        <w:spacing w:after="80"/>
      </w:pPr>
      <w:r>
        <w:rPr>
          <w:rFonts w:ascii="Arial" w:hAnsi="Arial" w:eastAsia="Arial"/>
          <w:color w:val="586069"/>
          <w:sz w:val="18"/>
        </w:rPr>
        <w:t>Datum: 29.06.2026  |  Zeichen: PMH/26-184 AM</w:t>
      </w:r>
    </w:p>
    <w:p>
      <w:pPr>
        <w:pStyle w:val="Title"/>
        <w:widowControl/>
      </w:pPr>
      <w:r>
        <w:rPr>
          <w:rFonts w:ascii="Arial" w:hAnsi="Arial" w:eastAsia="Arial"/>
        </w:rPr>
        <w:t>Mandatsnotiz zum Nachlass Helga Martensen</w:t>
      </w:r>
    </w:p>
    <w:p>
      <w:pPr>
        <w:widowControl/>
        <w:jc w:val="both"/>
      </w:pPr>
      <w:r>
        <w:rPr>
          <w:rFonts w:ascii="Arial" w:hAnsi="Arial" w:eastAsia="Arial"/>
        </w:rPr>
        <w:t>Anja Martensen erschien am 29. Juni 2026 persönlich. Sie legte die Sterbeurkunde ihrer Mutter, eine Kopie des privaten Nachlassverzeichnisses ihres Bruders Karsten und einen Ausdruck des Übertragungsvertrags aus dem Jahr 2018 vor. Das Gespräch dauerte von 09:10 Uhr bis 10:35 Uhr; die Mandantin bestätigte die nachstehende Sachverhaltserfassung.</w:t>
      </w:r>
    </w:p>
    <w:p>
      <w:pPr>
        <w:pStyle w:val="Heading1"/>
        <w:widowControl/>
      </w:pPr>
      <w:r>
        <w:rPr>
          <w:rFonts w:ascii="Arial" w:hAnsi="Arial" w:eastAsia="Arial"/>
        </w:rPr>
        <w:t>1. Beteiligte und Mandatsziel</w:t>
      </w:r>
    </w:p>
    <w:p>
      <w:pPr>
        <w:widowControl/>
        <w:jc w:val="both"/>
      </w:pPr>
      <w:r>
        <w:rPr>
          <w:rFonts w:ascii="Arial" w:hAnsi="Arial" w:eastAsia="Arial"/>
        </w:rPr>
        <w:t>Helga Martensen, zuletzt wohnhaft im Gurtstig 18 in Keitum, verstarb am 14. Januar 2026. Nach dem eröffneten Einzeltestament vom 6. Mai 2022 ist Karsten Martensen Alleinerbe. Anja ist nicht bedacht. Enkel Theo Martensen erhielt im September 2021 ein Wertpapierdepot.</w:t>
      </w:r>
    </w:p>
    <w:p>
      <w:pPr>
        <w:widowControl/>
        <w:jc w:val="both"/>
      </w:pPr>
      <w:r>
        <w:rPr>
          <w:rFonts w:ascii="Arial" w:hAnsi="Arial" w:eastAsia="Arial"/>
        </w:rPr>
        <w:t>Die Mandantin verlangt zunächst vollständige Auskunft und eine belastbare Wertermittlung. Eine Zahlungsforderung soll erst nach Sichtung des notariellen Nachlassverzeichnisses, der Grundstücksakte und der Depotunterlagen beziffert werden. Ansprüche gegen den Erben und gegen einen Beschenkten sind getrennt zu erfassen.</w:t>
      </w:r>
    </w:p>
    <w:p>
      <w:pPr>
        <w:pStyle w:val="Heading1"/>
        <w:widowControl/>
      </w:pPr>
      <w:r>
        <w:rPr>
          <w:rFonts w:ascii="Arial" w:hAnsi="Arial" w:eastAsia="Arial"/>
        </w:rPr>
        <w:t>2. Schenkungen und tatsächliche Nutzung</w:t>
      </w:r>
    </w:p>
    <w:p>
      <w:pPr>
        <w:widowControl/>
        <w:jc w:val="both"/>
      </w:pPr>
      <w:r>
        <w:rPr>
          <w:rFonts w:ascii="Arial" w:hAnsi="Arial" w:eastAsia="Arial"/>
        </w:rPr>
        <w:t>Mit Urkunde 118/2018 der Notarin Dr. Ruth Behrends übertrug Helga das Grundstück Keitum Blatt 2187, Flur 18, Flurstück 77 auf Karsten. Nach Erinnerung Anjas blieb Helga bis Ende 2025 alleinige Nutzerin des Erdgeschosses, bestimmte über drei Ferienvermietungen im Obergeschoss und erhielt die Mieterlöse auf ihr Konto. Karsten bestreitet eine vollständige wirtschaftliche Herrschaft der Erblasserin und verweist auf eigene Sanierungsentscheidungen.</w:t>
      </w:r>
    </w:p>
    <w:p>
      <w:pPr>
        <w:widowControl/>
        <w:jc w:val="both"/>
      </w:pPr>
      <w:r>
        <w:rPr>
          <w:rFonts w:ascii="Arial" w:hAnsi="Arial" w:eastAsia="Arial"/>
        </w:rPr>
        <w:t>Am 18. September 2021 wurden Wertpapiere mit einem damaligen Kurswert von 312.460 Euro auf ein Depot Theos übertragen. Auf Helgas Girokonto gingen danach quartalsweise Beträge mit dem Verwendungszweck „Ertrag Depot T. M.“ ein. Ob dies auf einer Abrede, einem Nießbrauch oder freiwilligen Zahlungen beruhte, ist offen.</w:t>
      </w:r>
    </w:p>
    <w:p>
      <w:pPr>
        <w:pStyle w:val="Heading1"/>
        <w:widowControl/>
      </w:pPr>
      <w:r>
        <w:rPr>
          <w:rFonts w:ascii="Arial" w:hAnsi="Arial" w:eastAsia="Arial"/>
        </w:rPr>
        <w:t>3. Nachlass und Einwendungen</w:t>
      </w:r>
    </w:p>
    <w:p>
      <w:pPr>
        <w:widowControl/>
        <w:jc w:val="both"/>
      </w:pPr>
      <w:r>
        <w:rPr>
          <w:rFonts w:ascii="Arial" w:hAnsi="Arial" w:eastAsia="Arial"/>
        </w:rPr>
        <w:t>Das private Verzeichnis nennt Bankguthaben von 48.310 Euro, Hausrat pauschal mit 4.000 Euro, Schmuck mit 2.500 Euro und Bestattungskosten von 12.840 Euro. Es fehlen Kontoentwicklungen, Steuererstattungen, Rückzahlungsansprüche, Ferienmieten und Angaben zu Zuwendungen der letzten zehn Jahre. Karsten macht Pflegeleistungen sowie Dach-, Heizungs- und Malerkosten geltend; Belege liegen nur teilweise vor.</w:t>
      </w:r>
    </w:p>
    <w:p>
      <w:pPr>
        <w:pStyle w:val="Heading1"/>
        <w:widowControl/>
      </w:pPr>
      <w:r>
        <w:rPr>
          <w:rFonts w:ascii="Arial" w:hAnsi="Arial" w:eastAsia="Arial"/>
        </w:rPr>
        <w:t>4. Arbeitsauftrag und nächste Schritte</w:t>
      </w:r>
    </w:p>
    <w:p>
      <w:pPr>
        <w:widowControl/>
        <w:jc w:val="both"/>
      </w:pPr>
      <w:r>
        <w:rPr>
          <w:rFonts w:ascii="Arial" w:hAnsi="Arial" w:eastAsia="Arial"/>
        </w:rPr>
        <w:t>Bis 3. Juli 2026 werden Eröffnungsniederschrift, vollständiger Übertragungsvertrag, Grundbuchauszug, Kontoauszüge 2017 bis 2026, Depotauftrag 2021, Ertragsabrechnungen, Pflegeunterlagen und Handwerkerrechnungen angefordert. Die Verjährung wird für jeden Anspruch und jeden Gegner gesondert notiert. Eine bloße außergerichtliche Auskunftsaufforderung wird nicht als sichere Hemmungsmaßnahme behandelt.</w:t>
      </w:r>
    </w:p>
    <w:p>
      <w:pPr>
        <w:widowControl/>
        <w:jc w:val="both"/>
      </w:pPr>
      <w:r>
        <w:rPr>
          <w:rFonts w:ascii="Arial" w:hAnsi="Arial" w:eastAsia="Arial"/>
        </w:rPr>
        <w:t>Bearbeiterin: Rechtsanwältin Lea Petersen Mandantin erhält eine verschlüsselte Kopie der Unterlagenanforderung.</w:t>
      </w:r>
    </w:p>
    <w:p>
      <w:pPr>
        <w:pStyle w:val="Heading1"/>
        <w:widowControl/>
      </w:pPr>
      <w:r>
        <w:rPr>
          <w:rFonts w:ascii="Arial" w:hAnsi="Arial" w:eastAsia="Arial"/>
        </w:rPr>
        <w:t>5. Unterlagenannahme und Gesprächsatmosphäre</w:t>
      </w:r>
    </w:p>
    <w:p>
      <w:pPr>
        <w:keepLines w:val="0"/>
        <w:widowControl/>
      </w:pPr>
      <w:r>
        <w:rPr>
          <w:rFonts w:ascii="Arial" w:hAnsi="Arial" w:eastAsia="Arial"/>
        </w:rPr>
        <w:t>Anja brachte die Unterlagen in einer Stofftasche aus dem Haushalt ihrer Mutter. Rechtsanwaltsfachangestellte Britta Lorenzen inventarisierte 46 Blätter, drei Originalkontoauszüge, einen USB-Stick und eine Schmuckfotografie. Das Testament lag nur als gerichtliche Abschrift vor; der Übertragungsvertrag war auf den Seiten 7 bis 10 unvollständig.</w:t>
      </w:r>
    </w:p>
    <w:p>
      <w:pPr>
        <w:keepLines w:val="0"/>
        <w:widowControl/>
      </w:pPr>
      <w:r>
        <w:rPr>
          <w:rFonts w:ascii="Arial" w:hAnsi="Arial" w:eastAsia="Arial"/>
        </w:rPr>
        <w:t>Die Mandantin rief während des Gesprächs ihren Bruder nicht an. Sie bat darum, zunächst Tatsachen zu sichern und nicht mit einer hohen Forderung aufzutreten. Die Kanzlei bestätigte, dass Schenkungen, Gegenleistungen, Nießbrauch, Pflege und Nachlassbestand getrennt erhoben werden.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blHeader w:val="true"/>
          <w:tblHeader w:val="true"/>
        </w:trPr>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Unterlage</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Umfang</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Status</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Ablage</w:t>
            </w:r>
          </w:p>
        </w:tc>
      </w:tr>
      <w:tr>
        <w:tc>
          <w:tcPr>
            <w:tcW w:type="dxa" w:w="2353"/>
            <w:vAlign w:val="center"/>
            <w:tcMar>
              <w:top w:w="90" w:type="dxa"/>
              <w:start w:w="100" w:type="dxa"/>
              <w:bottom w:w="90" w:type="dxa"/>
              <w:end w:w="100" w:type="dxa"/>
            </w:tcMar>
          </w:tcPr>
          <w:p>
            <w:pPr>
              <w:spacing w:after="30"/>
            </w:pPr>
            <w:r>
              <w:rPr>
                <w:rFonts w:ascii="Arial" w:hAnsi="Arial"/>
                <w:sz w:val="17"/>
              </w:rPr>
              <w:t>Sterbeurkunde</w:t>
            </w:r>
          </w:p>
        </w:tc>
        <w:tc>
          <w:tcPr>
            <w:tcW w:type="dxa" w:w="2353"/>
            <w:vAlign w:val="center"/>
            <w:tcMar>
              <w:top w:w="90" w:type="dxa"/>
              <w:start w:w="100" w:type="dxa"/>
              <w:bottom w:w="90" w:type="dxa"/>
              <w:end w:w="100" w:type="dxa"/>
            </w:tcMar>
          </w:tcPr>
          <w:p>
            <w:pPr>
              <w:spacing w:after="30"/>
            </w:pPr>
            <w:r>
              <w:rPr>
                <w:rFonts w:ascii="Arial" w:hAnsi="Arial"/>
                <w:sz w:val="17"/>
              </w:rPr>
              <w:t>1 Seite</w:t>
            </w:r>
          </w:p>
        </w:tc>
        <w:tc>
          <w:tcPr>
            <w:tcW w:type="dxa" w:w="2353"/>
            <w:vAlign w:val="center"/>
            <w:tcMar>
              <w:top w:w="90" w:type="dxa"/>
              <w:start w:w="100" w:type="dxa"/>
              <w:bottom w:w="90" w:type="dxa"/>
              <w:end w:w="100" w:type="dxa"/>
            </w:tcMar>
          </w:tcPr>
          <w:p>
            <w:pPr>
              <w:spacing w:after="30"/>
            </w:pPr>
            <w:r>
              <w:rPr>
                <w:rFonts w:ascii="Arial" w:hAnsi="Arial"/>
                <w:sz w:val="17"/>
              </w:rPr>
              <w:t>beglaubigte Abschrift</w:t>
            </w:r>
          </w:p>
        </w:tc>
        <w:tc>
          <w:tcPr>
            <w:tcW w:type="dxa" w:w="2353"/>
            <w:vAlign w:val="center"/>
            <w:tcMar>
              <w:top w:w="90" w:type="dxa"/>
              <w:start w:w="100" w:type="dxa"/>
              <w:bottom w:w="90" w:type="dxa"/>
              <w:end w:w="100" w:type="dxa"/>
            </w:tcMar>
          </w:tcPr>
          <w:p>
            <w:pPr>
              <w:spacing w:after="30"/>
            </w:pPr>
            <w:r>
              <w:rPr>
                <w:rFonts w:ascii="Arial" w:hAnsi="Arial"/>
                <w:sz w:val="17"/>
              </w:rPr>
              <w:t>U1</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Nachlassverzeichnis Karsten</w:t>
            </w:r>
          </w:p>
        </w:tc>
        <w:tc>
          <w:tcPr>
            <w:tcW w:type="dxa" w:w="2353"/>
            <w:vAlign w:val="center"/>
            <w:tcMar>
              <w:top w:w="90" w:type="dxa"/>
              <w:start w:w="100" w:type="dxa"/>
              <w:bottom w:w="90" w:type="dxa"/>
              <w:end w:w="100" w:type="dxa"/>
            </w:tcMar>
            <w:shd w:fill="F2F4F5"/>
          </w:tcPr>
          <w:p>
            <w:pPr>
              <w:spacing w:after="30"/>
            </w:pPr>
            <w:r>
              <w:rPr>
                <w:rFonts w:ascii="Arial" w:hAnsi="Arial"/>
                <w:sz w:val="17"/>
              </w:rPr>
              <w:t>3 Seiten</w:t>
            </w:r>
          </w:p>
        </w:tc>
        <w:tc>
          <w:tcPr>
            <w:tcW w:type="dxa" w:w="2353"/>
            <w:vAlign w:val="center"/>
            <w:tcMar>
              <w:top w:w="90" w:type="dxa"/>
              <w:start w:w="100" w:type="dxa"/>
              <w:bottom w:w="90" w:type="dxa"/>
              <w:end w:w="100" w:type="dxa"/>
            </w:tcMar>
            <w:shd w:fill="F2F4F5"/>
          </w:tcPr>
          <w:p>
            <w:pPr>
              <w:spacing w:after="30"/>
            </w:pPr>
            <w:r>
              <w:rPr>
                <w:rFonts w:ascii="Arial" w:hAnsi="Arial"/>
                <w:sz w:val="17"/>
              </w:rPr>
              <w:t>unbelegt</w:t>
            </w:r>
          </w:p>
        </w:tc>
        <w:tc>
          <w:tcPr>
            <w:tcW w:type="dxa" w:w="2353"/>
            <w:vAlign w:val="center"/>
            <w:tcMar>
              <w:top w:w="90" w:type="dxa"/>
              <w:start w:w="100" w:type="dxa"/>
              <w:bottom w:w="90" w:type="dxa"/>
              <w:end w:w="100" w:type="dxa"/>
            </w:tcMar>
            <w:shd w:fill="F2F4F5"/>
          </w:tcPr>
          <w:p>
            <w:pPr>
              <w:spacing w:after="30"/>
            </w:pPr>
            <w:r>
              <w:rPr>
                <w:rFonts w:ascii="Arial" w:hAnsi="Arial"/>
                <w:sz w:val="17"/>
              </w:rPr>
              <w:t>A3</w:t>
            </w:r>
          </w:p>
        </w:tc>
      </w:tr>
      <w:tr>
        <w:tc>
          <w:tcPr>
            <w:tcW w:type="dxa" w:w="2353"/>
            <w:vAlign w:val="center"/>
            <w:tcMar>
              <w:top w:w="90" w:type="dxa"/>
              <w:start w:w="100" w:type="dxa"/>
              <w:bottom w:w="90" w:type="dxa"/>
              <w:end w:w="100" w:type="dxa"/>
            </w:tcMar>
          </w:tcPr>
          <w:p>
            <w:pPr>
              <w:spacing w:after="30"/>
            </w:pPr>
            <w:r>
              <w:rPr>
                <w:rFonts w:ascii="Arial" w:hAnsi="Arial"/>
                <w:sz w:val="17"/>
              </w:rPr>
              <w:t>Übertragungsvertrag</w:t>
            </w:r>
          </w:p>
        </w:tc>
        <w:tc>
          <w:tcPr>
            <w:tcW w:type="dxa" w:w="2353"/>
            <w:vAlign w:val="center"/>
            <w:tcMar>
              <w:top w:w="90" w:type="dxa"/>
              <w:start w:w="100" w:type="dxa"/>
              <w:bottom w:w="90" w:type="dxa"/>
              <w:end w:w="100" w:type="dxa"/>
            </w:tcMar>
          </w:tcPr>
          <w:p>
            <w:pPr>
              <w:spacing w:after="30"/>
            </w:pPr>
            <w:r>
              <w:rPr>
                <w:rFonts w:ascii="Arial" w:hAnsi="Arial"/>
                <w:sz w:val="17"/>
              </w:rPr>
              <w:t>6 von 10 Seiten</w:t>
            </w:r>
          </w:p>
        </w:tc>
        <w:tc>
          <w:tcPr>
            <w:tcW w:type="dxa" w:w="2353"/>
            <w:vAlign w:val="center"/>
            <w:tcMar>
              <w:top w:w="90" w:type="dxa"/>
              <w:start w:w="100" w:type="dxa"/>
              <w:bottom w:w="90" w:type="dxa"/>
              <w:end w:w="100" w:type="dxa"/>
            </w:tcMar>
          </w:tcPr>
          <w:p>
            <w:pPr>
              <w:spacing w:after="30"/>
            </w:pPr>
            <w:r>
              <w:rPr>
                <w:rFonts w:ascii="Arial" w:hAnsi="Arial"/>
                <w:sz w:val="17"/>
              </w:rPr>
              <w:t>unvollständig</w:t>
            </w:r>
          </w:p>
        </w:tc>
        <w:tc>
          <w:tcPr>
            <w:tcW w:type="dxa" w:w="2353"/>
            <w:vAlign w:val="center"/>
            <w:tcMar>
              <w:top w:w="90" w:type="dxa"/>
              <w:start w:w="100" w:type="dxa"/>
              <w:bottom w:w="90" w:type="dxa"/>
              <w:end w:w="100" w:type="dxa"/>
            </w:tcMar>
          </w:tcPr>
          <w:p>
            <w:pPr>
              <w:spacing w:after="30"/>
            </w:pPr>
            <w:r>
              <w:rPr>
                <w:rFonts w:ascii="Arial" w:hAnsi="Arial"/>
                <w:sz w:val="17"/>
              </w:rPr>
              <w:t>A4</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Kontoauszüge</w:t>
            </w:r>
          </w:p>
        </w:tc>
        <w:tc>
          <w:tcPr>
            <w:tcW w:type="dxa" w:w="2353"/>
            <w:vAlign w:val="center"/>
            <w:tcMar>
              <w:top w:w="90" w:type="dxa"/>
              <w:start w:w="100" w:type="dxa"/>
              <w:bottom w:w="90" w:type="dxa"/>
              <w:end w:w="100" w:type="dxa"/>
            </w:tcMar>
            <w:shd w:fill="F2F4F5"/>
          </w:tcPr>
          <w:p>
            <w:pPr>
              <w:spacing w:after="30"/>
            </w:pPr>
            <w:r>
              <w:rPr>
                <w:rFonts w:ascii="Arial" w:hAnsi="Arial"/>
                <w:sz w:val="17"/>
              </w:rPr>
              <w:t>3 Originale</w:t>
            </w:r>
          </w:p>
        </w:tc>
        <w:tc>
          <w:tcPr>
            <w:tcW w:type="dxa" w:w="2353"/>
            <w:vAlign w:val="center"/>
            <w:tcMar>
              <w:top w:w="90" w:type="dxa"/>
              <w:start w:w="100" w:type="dxa"/>
              <w:bottom w:w="90" w:type="dxa"/>
              <w:end w:w="100" w:type="dxa"/>
            </w:tcMar>
            <w:shd w:fill="F2F4F5"/>
          </w:tcPr>
          <w:p>
            <w:pPr>
              <w:spacing w:after="30"/>
            </w:pPr>
            <w:r>
              <w:rPr>
                <w:rFonts w:ascii="Arial" w:hAnsi="Arial"/>
                <w:sz w:val="17"/>
              </w:rPr>
              <w:t>gescannt und zurückgegeben</w:t>
            </w:r>
          </w:p>
        </w:tc>
        <w:tc>
          <w:tcPr>
            <w:tcW w:type="dxa" w:w="2353"/>
            <w:vAlign w:val="center"/>
            <w:tcMar>
              <w:top w:w="90" w:type="dxa"/>
              <w:start w:w="100" w:type="dxa"/>
              <w:bottom w:w="90" w:type="dxa"/>
              <w:end w:w="100" w:type="dxa"/>
            </w:tcMar>
            <w:shd w:fill="F2F4F5"/>
          </w:tcPr>
          <w:p>
            <w:pPr>
              <w:spacing w:after="30"/>
            </w:pPr>
            <w:r>
              <w:rPr>
                <w:rFonts w:ascii="Arial" w:hAnsi="Arial"/>
                <w:sz w:val="17"/>
              </w:rPr>
              <w:t>B1</w:t>
            </w:r>
          </w:p>
        </w:tc>
      </w:tr>
      <w:tr>
        <w:tc>
          <w:tcPr>
            <w:tcW w:type="dxa" w:w="2353"/>
            <w:vAlign w:val="center"/>
            <w:tcMar>
              <w:top w:w="90" w:type="dxa"/>
              <w:start w:w="100" w:type="dxa"/>
              <w:bottom w:w="90" w:type="dxa"/>
              <w:end w:w="100" w:type="dxa"/>
            </w:tcMar>
          </w:tcPr>
          <w:p>
            <w:pPr>
              <w:spacing w:after="30"/>
            </w:pPr>
            <w:r>
              <w:rPr>
                <w:rFonts w:ascii="Arial" w:hAnsi="Arial"/>
                <w:sz w:val="17"/>
              </w:rPr>
              <w:t>USB-Stick</w:t>
            </w:r>
          </w:p>
        </w:tc>
        <w:tc>
          <w:tcPr>
            <w:tcW w:type="dxa" w:w="2353"/>
            <w:vAlign w:val="center"/>
            <w:tcMar>
              <w:top w:w="90" w:type="dxa"/>
              <w:start w:w="100" w:type="dxa"/>
              <w:bottom w:w="90" w:type="dxa"/>
              <w:end w:w="100" w:type="dxa"/>
            </w:tcMar>
          </w:tcPr>
          <w:p>
            <w:pPr>
              <w:spacing w:after="30"/>
            </w:pPr>
            <w:r>
              <w:rPr>
                <w:rFonts w:ascii="Arial" w:hAnsi="Arial"/>
                <w:sz w:val="17"/>
              </w:rPr>
              <w:t>17 Dateien</w:t>
            </w:r>
          </w:p>
        </w:tc>
        <w:tc>
          <w:tcPr>
            <w:tcW w:type="dxa" w:w="2353"/>
            <w:vAlign w:val="center"/>
            <w:tcMar>
              <w:top w:w="90" w:type="dxa"/>
              <w:start w:w="100" w:type="dxa"/>
              <w:bottom w:w="90" w:type="dxa"/>
              <w:end w:w="100" w:type="dxa"/>
            </w:tcMar>
          </w:tcPr>
          <w:p>
            <w:pPr>
              <w:spacing w:after="30"/>
            </w:pPr>
            <w:r>
              <w:rPr>
                <w:rFonts w:ascii="Arial" w:hAnsi="Arial"/>
                <w:sz w:val="17"/>
              </w:rPr>
              <w:t>schreibgeschützt kopiert</w:t>
            </w:r>
          </w:p>
        </w:tc>
        <w:tc>
          <w:tcPr>
            <w:tcW w:type="dxa" w:w="2353"/>
            <w:vAlign w:val="center"/>
            <w:tcMar>
              <w:top w:w="90" w:type="dxa"/>
              <w:start w:w="100" w:type="dxa"/>
              <w:bottom w:w="90" w:type="dxa"/>
              <w:end w:w="100" w:type="dxa"/>
            </w:tcMar>
          </w:tcPr>
          <w:p>
            <w:pPr>
              <w:spacing w:after="30"/>
            </w:pPr>
            <w:r>
              <w:rPr>
                <w:rFonts w:ascii="Arial" w:hAnsi="Arial"/>
                <w:sz w:val="17"/>
              </w:rPr>
              <w:t>D1</w:t>
            </w:r>
          </w:p>
        </w:tc>
      </w:tr>
    </w:tbl>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Petersen &amp; Hagedorn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2"/>
      </w:rPr>
      <w:t>PETERSEN &amp; HAGEDORN RECHTSANWÄLTE</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Petersen &amp; Hagedorn Rechtsanwälte</w:t>
          </w:r>
        </w:p>
        <w:p>
          <w:pPr>
            <w:spacing w:after="0"/>
          </w:pPr>
          <w:r>
            <w:rPr>
              <w:color w:val="6B7378"/>
              <w:sz w:val="15"/>
            </w:rPr>
            <w:t>Erbrecht und Vermögensnachfolge | Friedrichstraße 21 | 25980 Sylt</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Mandatsnotiz zum Nachlass Helga Martensen</dc:title>
  <dc:subject>PMH/26-184 AM</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