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KANZLEIVERMERK</w:t>
      </w:r>
    </w:p>
    <w:p>
      <w:pPr>
        <w:widowControl/>
        <w:spacing w:after="40"/>
      </w:pPr>
      <w:r>
        <w:rPr>
          <w:rFonts w:ascii="Arial" w:hAnsi="Arial" w:eastAsia="Arial"/>
          <w:b/>
          <w:sz w:val="25"/>
        </w:rPr>
        <w:t>Kanzlei Steinbrück Partnerschaft</w:t>
      </w:r>
    </w:p>
    <w:p>
      <w:pPr>
        <w:widowControl/>
        <w:spacing w:after="200"/>
      </w:pPr>
      <w:r>
        <w:rPr>
          <w:rFonts w:ascii="Arial" w:hAnsi="Arial" w:eastAsia="Arial"/>
          <w:color w:val="586069"/>
          <w:sz w:val="17"/>
        </w:rPr>
        <w:t>Erbrecht und Gesellschaftsrecht | Theaterstraße 9 | 97070 Würzburg | Telefon 0931 705580</w:t>
      </w:r>
    </w:p>
    <w:p>
      <w:pPr>
        <w:widowControl/>
        <w:spacing w:after="160"/>
      </w:pPr>
      <w:r>
        <w:rPr>
          <w:rFonts w:ascii="Arial" w:hAnsi="Arial" w:eastAsia="Arial"/>
        </w:rPr>
        <w:t>Intern - elektronische Handakte</w:t>
      </w:r>
    </w:p>
    <w:p>
      <w:pPr>
        <w:widowControl/>
        <w:spacing w:after="80"/>
      </w:pPr>
      <w:r>
        <w:rPr>
          <w:rFonts w:ascii="Arial" w:hAnsi="Arial" w:eastAsia="Arial"/>
          <w:color w:val="586069"/>
          <w:sz w:val="18"/>
        </w:rPr>
        <w:t>Datum: 04.05.2026  |  Zeichen: SP/26-309 MB</w:t>
      </w:r>
    </w:p>
    <w:p>
      <w:pPr>
        <w:pStyle w:val="Title"/>
        <w:widowControl/>
      </w:pPr>
      <w:r>
        <w:rPr>
          <w:rFonts w:ascii="Arial" w:hAnsi="Arial" w:eastAsia="Arial"/>
        </w:rPr>
        <w:t>Mandatsnotiz Baumann Unternehmensnachfolge</w:t>
      </w:r>
    </w:p>
    <w:p>
      <w:pPr>
        <w:widowControl/>
        <w:jc w:val="both"/>
      </w:pPr>
      <w:r>
        <w:rPr>
          <w:rFonts w:ascii="Arial" w:hAnsi="Arial" w:eastAsia="Arial"/>
        </w:rPr>
        <w:t>Mara Baumann erschien gemeinsam mit dem kaufmännischen Leiter der Baumann Präzision GmbH. Anlass waren die am 11. April 2026 eingetretene Erbfolge, die Aufnahme der Testamentsvollstreckung und eine bis 31. Juli befristete Betriebsmittellinie.</w:t>
      </w:r>
    </w:p>
    <w:p>
      <w:pPr>
        <w:pStyle w:val="Heading1"/>
        <w:widowControl/>
      </w:pPr>
      <w:r>
        <w:rPr>
          <w:rFonts w:ascii="Arial" w:hAnsi="Arial" w:eastAsia="Arial"/>
        </w:rPr>
        <w:t>1. Unternehmens- und Nachlasslage</w:t>
      </w:r>
    </w:p>
    <w:p>
      <w:pPr>
        <w:widowControl/>
        <w:jc w:val="both"/>
      </w:pPr>
      <w:r>
        <w:rPr>
          <w:rFonts w:ascii="Arial" w:hAnsi="Arial" w:eastAsia="Arial"/>
        </w:rPr>
        <w:t>Heinrich Baumann hielt 72 Prozent der Geschäftsanteile an der Baumann Präzision GmbH. Mara hält 18 Prozent, Tilo 10 Prozent. Das Testament setzt Mara zu 70 Prozent und die gemeinnützige Baumann-Stiftung zu 30 Prozent als Erben ein; Tilo ist nicht als Erbe eingesetzt. Die GmbH-Anteile unterliegen nach dem Testament zehn Jahre der Verwaltung durch Testamentsvollstrecker Dr. Fedor Lehnert.</w:t>
      </w:r>
    </w:p>
    <w:p>
      <w:pPr>
        <w:widowControl/>
        <w:jc w:val="both"/>
      </w:pPr>
      <w:r>
        <w:rPr>
          <w:rFonts w:ascii="Arial" w:hAnsi="Arial" w:eastAsia="Arial"/>
        </w:rPr>
        <w:t>Das Unternehmen beschäftigt 146 Mitarbeiter und erzielt rund 28 Millionen Euro Jahresumsatz. Ein Investitionskredit für eine Fertigungslinie über 3,6 Millionen Euro ist noch nicht ausbezahlt. Die Bank verlangt Erbnachweis, Testamentsvollstreckerzeugnis, aktuelle Gesellschafterliste und eine Regelung zur Pflichtteilsliquidität.</w:t>
      </w:r>
    </w:p>
    <w:p>
      <w:pPr>
        <w:pStyle w:val="Heading1"/>
        <w:widowControl/>
      </w:pPr>
      <w:r>
        <w:rPr>
          <w:rFonts w:ascii="Arial" w:hAnsi="Arial" w:eastAsia="Arial"/>
        </w:rPr>
        <w:t>2. Konfliktlinien</w:t>
      </w:r>
    </w:p>
    <w:p>
      <w:pPr>
        <w:widowControl/>
        <w:jc w:val="both"/>
      </w:pPr>
      <w:r>
        <w:rPr>
          <w:rFonts w:ascii="Arial" w:hAnsi="Arial" w:eastAsia="Arial"/>
        </w:rPr>
        <w:t>Mara benötigt kurzfristig eine klare Stimmrechts- und Vertretungslage. Dr. Lehnert beansprucht, sämtliche Gesellschafterrechte aus den Nachlassanteilen auszuüben. Tilo verlangt ein notarielles Nachlassverzeichnis und eine Unternehmensbewertung; er hält die interne Planung für zu niedrig und vermutet Gesellschafterdarlehen zugunsten Maras. Die Satzung enthält Vinkulierung, eine qualifizierte Nachfolgeklausel und eine Einziehungsmöglichkeit.</w:t>
      </w:r>
    </w:p>
    <w:p>
      <w:pPr>
        <w:pStyle w:val="Heading1"/>
        <w:widowControl/>
      </w:pPr>
      <w:r>
        <w:rPr>
          <w:rFonts w:ascii="Arial" w:hAnsi="Arial" w:eastAsia="Arial"/>
        </w:rPr>
        <w:t>3. Sofortmaßnahmen</w:t>
      </w:r>
    </w:p>
    <w:p>
      <w:pPr>
        <w:widowControl/>
        <w:jc w:val="both"/>
      </w:pPr>
      <w:r>
        <w:rPr>
          <w:rFonts w:ascii="Arial" w:hAnsi="Arial" w:eastAsia="Arial"/>
        </w:rPr>
        <w:t>Testament, Eröffnungsniederschrift, Satzung, Gesellschafterliste, Kreditverträge und Vollstreckerzeugnis werden in einer Befugnismatrix gegenübergestellt. Für die Gesellschafterversammlung am 18. Mai werden Beschlussgegenstände und Vertretungsnachweise vorab mit Notar und Bank abgestimmt. Pflichtteil und Unternehmensliquidität werden getrennt gerechnet; ein Vergleich wird erst nach belastbarer Bewertung verhandelt.</w:t>
      </w:r>
    </w:p>
    <w:p>
      <w:pPr>
        <w:pStyle w:val="Heading1"/>
        <w:widowControl/>
      </w:pPr>
      <w:r>
        <w:rPr>
          <w:rFonts w:ascii="Arial" w:hAnsi="Arial" w:eastAsia="Arial"/>
        </w:rPr>
        <w:t>4. Mandatsgrenzen</w:t>
      </w:r>
    </w:p>
    <w:p>
      <w:pPr>
        <w:widowControl/>
        <w:jc w:val="both"/>
      </w:pPr>
      <w:r>
        <w:rPr>
          <w:rFonts w:ascii="Arial" w:hAnsi="Arial" w:eastAsia="Arial"/>
        </w:rPr>
        <w:t>Die Kanzlei berät Mara persönlich und die GmbH nur nach gesonderter Beauftragung und Konfliktprüfung. Interessen der Stiftung, Tilos und des Testamentsvollstreckers werden nicht vertreten. Steuerliche und betriebswirtschaftliche Aussagen sind durch die jeweiligen Berater zu bestätigen.</w:t>
      </w:r>
    </w:p>
    <w:p>
      <w:pPr>
        <w:widowControl/>
        <w:jc w:val="both"/>
      </w:pPr>
      <w:r>
        <w:rPr>
          <w:rFonts w:ascii="Arial" w:hAnsi="Arial" w:eastAsia="Arial"/>
        </w:rPr>
        <w:t>Bearbeiter: Rechtsanwalt Dr. Felix Steinbrück</w:t>
      </w:r>
    </w:p>
    <w:p>
      <w:pPr>
        <w:pStyle w:val="Heading1"/>
        <w:widowControl/>
      </w:pPr>
      <w:r>
        <w:rPr>
          <w:rFonts w:ascii="Arial" w:hAnsi="Arial" w:eastAsia="Arial"/>
        </w:rPr>
        <w:t>5. Teilnehmer, Unterlagen und Konfliktprüfung</w:t>
      </w:r>
    </w:p>
    <w:p>
      <w:pPr>
        <w:keepLines w:val="0"/>
        <w:widowControl/>
      </w:pPr>
      <w:r>
        <w:rPr>
          <w:rFonts w:ascii="Arial" w:hAnsi="Arial" w:eastAsia="Arial"/>
        </w:rPr>
        <w:t>Das Gespräch fand am 04.05.2026 von 08:20 bis 10:05 Uhr statt. Neben Mara nahm der kaufmännische Leiter Lars König teil, beschränkt auf Unternehmens- und Bankdaten. Originaltestament, Satzung und private Unterlagen wurden getrennt angenommen. Lars verließ den Raum vor der persönlichen Nachlassberatung.</w:t>
      </w:r>
    </w:p>
    <w:p>
      <w:pPr>
        <w:keepLines w:val="0"/>
        <w:widowControl/>
      </w:pPr>
      <w:r>
        <w:rPr>
          <w:rFonts w:ascii="Arial" w:hAnsi="Arial" w:eastAsia="Arial"/>
        </w:rPr>
        <w:t>Die Kanzlei eröffnete zwei interne Prüfvorgänge: Mara persönlich und eine mögliche Beauftragung der GmbH. Bis zur schriftlichen Konfliktfreigabe werden keine gesellschaftsbezogenen Erklärungen im Namen der GmbH abgegeben.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blHeader w:val="true"/>
          <w:tblHeader w:val="true"/>
        </w:trPr>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Unterlage</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Quelle</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Status</w:t>
            </w:r>
          </w:p>
        </w:tc>
      </w:tr>
      <w:tr>
        <w:tc>
          <w:tcPr>
            <w:tcW w:type="dxa" w:w="3137"/>
            <w:vAlign w:val="center"/>
            <w:tcMar>
              <w:top w:w="90" w:type="dxa"/>
              <w:start w:w="100" w:type="dxa"/>
              <w:bottom w:w="90" w:type="dxa"/>
              <w:end w:w="100" w:type="dxa"/>
            </w:tcMar>
          </w:tcPr>
          <w:p>
            <w:pPr>
              <w:spacing w:after="30"/>
            </w:pPr>
            <w:r>
              <w:rPr>
                <w:rFonts w:ascii="Arial" w:hAnsi="Arial"/>
                <w:sz w:val="17"/>
              </w:rPr>
              <w:t>Testament</w:t>
            </w:r>
          </w:p>
        </w:tc>
        <w:tc>
          <w:tcPr>
            <w:tcW w:type="dxa" w:w="3137"/>
            <w:vAlign w:val="center"/>
            <w:tcMar>
              <w:top w:w="90" w:type="dxa"/>
              <w:start w:w="100" w:type="dxa"/>
              <w:bottom w:w="90" w:type="dxa"/>
              <w:end w:w="100" w:type="dxa"/>
            </w:tcMar>
          </w:tcPr>
          <w:p>
            <w:pPr>
              <w:spacing w:after="30"/>
            </w:pPr>
            <w:r>
              <w:rPr>
                <w:rFonts w:ascii="Arial" w:hAnsi="Arial"/>
                <w:sz w:val="17"/>
              </w:rPr>
              <w:t>Nachlassgericht</w:t>
            </w:r>
          </w:p>
        </w:tc>
        <w:tc>
          <w:tcPr>
            <w:tcW w:type="dxa" w:w="3137"/>
            <w:vAlign w:val="center"/>
            <w:tcMar>
              <w:top w:w="90" w:type="dxa"/>
              <w:start w:w="100" w:type="dxa"/>
              <w:bottom w:w="90" w:type="dxa"/>
              <w:end w:w="100" w:type="dxa"/>
            </w:tcMar>
          </w:tcPr>
          <w:p>
            <w:pPr>
              <w:spacing w:after="30"/>
            </w:pPr>
            <w:r>
              <w:rPr>
                <w:rFonts w:ascii="Arial" w:hAnsi="Arial"/>
                <w:sz w:val="17"/>
              </w:rPr>
              <w:t>beglaubigte Abschrift</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Satzung</w:t>
            </w:r>
          </w:p>
        </w:tc>
        <w:tc>
          <w:tcPr>
            <w:tcW w:type="dxa" w:w="3137"/>
            <w:vAlign w:val="center"/>
            <w:tcMar>
              <w:top w:w="90" w:type="dxa"/>
              <w:start w:w="100" w:type="dxa"/>
              <w:bottom w:w="90" w:type="dxa"/>
              <w:end w:w="100" w:type="dxa"/>
            </w:tcMar>
            <w:shd w:fill="F2F4F5"/>
          </w:tcPr>
          <w:p>
            <w:pPr>
              <w:spacing w:after="30"/>
            </w:pPr>
            <w:r>
              <w:rPr>
                <w:rFonts w:ascii="Arial" w:hAnsi="Arial"/>
                <w:sz w:val="17"/>
              </w:rPr>
              <w:t>Notariat</w:t>
            </w:r>
          </w:p>
        </w:tc>
        <w:tc>
          <w:tcPr>
            <w:tcW w:type="dxa" w:w="3137"/>
            <w:vAlign w:val="center"/>
            <w:tcMar>
              <w:top w:w="90" w:type="dxa"/>
              <w:start w:w="100" w:type="dxa"/>
              <w:bottom w:w="90" w:type="dxa"/>
              <w:end w:w="100" w:type="dxa"/>
            </w:tcMar>
            <w:shd w:fill="F2F4F5"/>
          </w:tcPr>
          <w:p>
            <w:pPr>
              <w:spacing w:after="30"/>
            </w:pPr>
            <w:r>
              <w:rPr>
                <w:rFonts w:ascii="Arial" w:hAnsi="Arial"/>
                <w:sz w:val="17"/>
              </w:rPr>
              <w:t>vollständig</w:t>
            </w:r>
          </w:p>
        </w:tc>
      </w:tr>
      <w:tr>
        <w:tc>
          <w:tcPr>
            <w:tcW w:type="dxa" w:w="3137"/>
            <w:vAlign w:val="center"/>
            <w:tcMar>
              <w:top w:w="90" w:type="dxa"/>
              <w:start w:w="100" w:type="dxa"/>
              <w:bottom w:w="90" w:type="dxa"/>
              <w:end w:w="100" w:type="dxa"/>
            </w:tcMar>
          </w:tcPr>
          <w:p>
            <w:pPr>
              <w:spacing w:after="30"/>
            </w:pPr>
            <w:r>
              <w:rPr>
                <w:rFonts w:ascii="Arial" w:hAnsi="Arial"/>
                <w:sz w:val="17"/>
              </w:rPr>
              <w:t>Kreditvertrag MF-44719</w:t>
            </w:r>
          </w:p>
        </w:tc>
        <w:tc>
          <w:tcPr>
            <w:tcW w:type="dxa" w:w="3137"/>
            <w:vAlign w:val="center"/>
            <w:tcMar>
              <w:top w:w="90" w:type="dxa"/>
              <w:start w:w="100" w:type="dxa"/>
              <w:bottom w:w="90" w:type="dxa"/>
              <w:end w:w="100" w:type="dxa"/>
            </w:tcMar>
          </w:tcPr>
          <w:p>
            <w:pPr>
              <w:spacing w:after="30"/>
            </w:pPr>
            <w:r>
              <w:rPr>
                <w:rFonts w:ascii="Arial" w:hAnsi="Arial"/>
                <w:sz w:val="17"/>
              </w:rPr>
              <w:t>GmbH</w:t>
            </w:r>
          </w:p>
        </w:tc>
        <w:tc>
          <w:tcPr>
            <w:tcW w:type="dxa" w:w="3137"/>
            <w:vAlign w:val="center"/>
            <w:tcMar>
              <w:top w:w="90" w:type="dxa"/>
              <w:start w:w="100" w:type="dxa"/>
              <w:bottom w:w="90" w:type="dxa"/>
              <w:end w:w="100" w:type="dxa"/>
            </w:tcMar>
          </w:tcPr>
          <w:p>
            <w:pPr>
              <w:spacing w:after="30"/>
            </w:pPr>
            <w:r>
              <w:rPr>
                <w:rFonts w:ascii="Arial" w:hAnsi="Arial"/>
                <w:sz w:val="17"/>
              </w:rPr>
              <w:t>Anlagen 3 und 7 fehlen</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13-Wochen-Plan</w:t>
            </w:r>
          </w:p>
        </w:tc>
        <w:tc>
          <w:tcPr>
            <w:tcW w:type="dxa" w:w="3137"/>
            <w:vAlign w:val="center"/>
            <w:tcMar>
              <w:top w:w="90" w:type="dxa"/>
              <w:start w:w="100" w:type="dxa"/>
              <w:bottom w:w="90" w:type="dxa"/>
              <w:end w:w="100" w:type="dxa"/>
            </w:tcMar>
            <w:shd w:fill="F2F4F5"/>
          </w:tcPr>
          <w:p>
            <w:pPr>
              <w:spacing w:after="30"/>
            </w:pPr>
            <w:r>
              <w:rPr>
                <w:rFonts w:ascii="Arial" w:hAnsi="Arial"/>
                <w:sz w:val="17"/>
              </w:rPr>
              <w:t>Controlling</w:t>
            </w:r>
          </w:p>
        </w:tc>
        <w:tc>
          <w:tcPr>
            <w:tcW w:type="dxa" w:w="3137"/>
            <w:vAlign w:val="center"/>
            <w:tcMar>
              <w:top w:w="90" w:type="dxa"/>
              <w:start w:w="100" w:type="dxa"/>
              <w:bottom w:w="90" w:type="dxa"/>
              <w:end w:w="100" w:type="dxa"/>
            </w:tcMar>
            <w:shd w:fill="F2F4F5"/>
          </w:tcPr>
          <w:p>
            <w:pPr>
              <w:spacing w:after="30"/>
            </w:pPr>
            <w:r>
              <w:rPr>
                <w:rFonts w:ascii="Arial" w:hAnsi="Arial"/>
                <w:sz w:val="17"/>
              </w:rPr>
              <w:t>Version 02.05.2026</w:t>
            </w:r>
          </w:p>
        </w:tc>
      </w:tr>
      <w:tr>
        <w:tc>
          <w:tcPr>
            <w:tcW w:type="dxa" w:w="3137"/>
            <w:vAlign w:val="center"/>
            <w:tcMar>
              <w:top w:w="90" w:type="dxa"/>
              <w:start w:w="100" w:type="dxa"/>
              <w:bottom w:w="90" w:type="dxa"/>
              <w:end w:w="100" w:type="dxa"/>
            </w:tcMar>
          </w:tcPr>
          <w:p>
            <w:pPr>
              <w:spacing w:after="30"/>
            </w:pPr>
            <w:r>
              <w:rPr>
                <w:rFonts w:ascii="Arial" w:hAnsi="Arial"/>
                <w:sz w:val="17"/>
              </w:rPr>
              <w:t>Pflichtteilsschreiben</w:t>
            </w:r>
          </w:p>
        </w:tc>
        <w:tc>
          <w:tcPr>
            <w:tcW w:type="dxa" w:w="3137"/>
            <w:vAlign w:val="center"/>
            <w:tcMar>
              <w:top w:w="90" w:type="dxa"/>
              <w:start w:w="100" w:type="dxa"/>
              <w:bottom w:w="90" w:type="dxa"/>
              <w:end w:w="100" w:type="dxa"/>
            </w:tcMar>
          </w:tcPr>
          <w:p>
            <w:pPr>
              <w:spacing w:after="30"/>
            </w:pPr>
            <w:r>
              <w:rPr>
                <w:rFonts w:ascii="Arial" w:hAnsi="Arial"/>
                <w:sz w:val="17"/>
              </w:rPr>
              <w:t>Fricke &amp; Albus</w:t>
            </w:r>
          </w:p>
        </w:tc>
        <w:tc>
          <w:tcPr>
            <w:tcW w:type="dxa" w:w="3137"/>
            <w:vAlign w:val="center"/>
            <w:tcMar>
              <w:top w:w="90" w:type="dxa"/>
              <w:start w:w="100" w:type="dxa"/>
              <w:bottom w:w="90" w:type="dxa"/>
              <w:end w:w="100" w:type="dxa"/>
            </w:tcMar>
          </w:tcPr>
          <w:p>
            <w:pPr>
              <w:spacing w:after="30"/>
            </w:pPr>
            <w:r>
              <w:rPr>
                <w:rFonts w:ascii="Arial" w:hAnsi="Arial"/>
                <w:sz w:val="17"/>
              </w:rPr>
              <w:t>Original eingegangen</w:t>
            </w:r>
          </w:p>
        </w:tc>
      </w:tr>
    </w:tbl>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Kanzlei Steinbrück Partnerschaft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7B2D3B"/>
        <w:sz w:val="22"/>
      </w:rPr>
      <w:t>KANZLEI STEINBRÜCK PARTNERSCHAFT</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Steinbrück Partnerschaft</w:t>
          </w:r>
        </w:p>
        <w:p>
          <w:pPr>
            <w:spacing w:after="0"/>
          </w:pPr>
          <w:r>
            <w:rPr>
              <w:color w:val="6B7378"/>
              <w:sz w:val="15"/>
            </w:rPr>
            <w:t>Erbrecht und Gesellschaftsrecht | Theaterstraße 9 | 97070 Würzburg</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Mandatsnotiz Baumann Unternehmensnachfolge</dc:title>
  <dc:subject>SP/26-309 MB</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