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PERSÖNLICHE ERKLÄRUNG</w:t>
      </w:r>
    </w:p>
    <w:p>
      <w:pPr>
        <w:widowControl/>
        <w:spacing w:after="40"/>
      </w:pPr>
      <w:r>
        <w:rPr>
          <w:rFonts w:ascii="Arial" w:hAnsi="Arial" w:eastAsia="Arial"/>
          <w:b/>
          <w:sz w:val="25"/>
        </w:rPr>
        <w:t>Mara Baumann</w:t>
      </w:r>
    </w:p>
    <w:p>
      <w:pPr>
        <w:widowControl/>
        <w:spacing w:after="200"/>
      </w:pPr>
      <w:r>
        <w:rPr>
          <w:rFonts w:ascii="Arial" w:hAnsi="Arial" w:eastAsia="Arial"/>
          <w:color w:val="586069"/>
          <w:sz w:val="17"/>
        </w:rPr>
        <w:t>Steinbachtal 32 | 97082 Würzburg</w:t>
      </w:r>
    </w:p>
    <w:p>
      <w:pPr>
        <w:widowControl/>
        <w:spacing w:after="160"/>
      </w:pPr>
      <w:r>
        <w:rPr>
          <w:rFonts w:ascii="Arial" w:hAnsi="Arial" w:eastAsia="Arial"/>
        </w:rPr>
        <w:t>Kanzlei Steinbrück Partnerschaft</w:t>
      </w:r>
    </w:p>
    <w:p>
      <w:pPr>
        <w:widowControl/>
        <w:spacing w:after="80"/>
      </w:pPr>
      <w:r>
        <w:rPr>
          <w:rFonts w:ascii="Arial" w:hAnsi="Arial" w:eastAsia="Arial"/>
          <w:color w:val="586069"/>
          <w:sz w:val="18"/>
        </w:rPr>
        <w:t>Datum: 05.05.2026  |  Zeichen: Persönliche Erklärung</w:t>
      </w:r>
    </w:p>
    <w:p>
      <w:pPr>
        <w:pStyle w:val="Title"/>
        <w:widowControl/>
      </w:pPr>
      <w:r>
        <w:rPr>
          <w:rFonts w:ascii="Arial" w:hAnsi="Arial" w:eastAsia="Arial"/>
        </w:rPr>
        <w:t>Erklärung zur Unternehmensnachfolge meines Vaters</w:t>
      </w:r>
    </w:p>
    <w:p>
      <w:pPr>
        <w:widowControl/>
        <w:jc w:val="both"/>
      </w:pPr>
      <w:r>
        <w:rPr>
          <w:rFonts w:ascii="Arial" w:hAnsi="Arial" w:eastAsia="Arial"/>
        </w:rPr>
        <w:t>Ich bin seit 2017 Geschäftsführerin und seit 2019 mit 18 Prozent an der Baumann Präzision GmbH beteiligt. Die folgenden Angaben beruhen auf meiner Tätigkeit, Gesprächen mit meinem Vater und den mir zugänglichen Unternehmensunterlagen.</w:t>
      </w:r>
    </w:p>
    <w:p>
      <w:pPr>
        <w:pStyle w:val="Heading1"/>
        <w:widowControl/>
      </w:pPr>
      <w:r>
        <w:rPr>
          <w:rFonts w:ascii="Arial" w:hAnsi="Arial" w:eastAsia="Arial"/>
        </w:rPr>
        <w:t>1. Nachfolgeplanung</w:t>
      </w:r>
    </w:p>
    <w:p>
      <w:pPr>
        <w:widowControl/>
        <w:jc w:val="both"/>
      </w:pPr>
      <w:r>
        <w:rPr>
          <w:rFonts w:ascii="Arial" w:hAnsi="Arial" w:eastAsia="Arial"/>
        </w:rPr>
        <w:t>Mein Vater wollte, dass das Unternehmen mindestens zehn Jahre in Familienhand bleibt. Dr. Lehnert sollte nach seiner Aussage Verkäufe verhindern und zwischen Tilo und mir vermitteln, nicht das Tagesgeschäft führen. In Besprechungen im November 2022 und Januar 2024 sagte mein Vater, operative Investitionen sollten weiterhin von der Geschäftsführung entschieden werden. Eine schriftliche Nebenabrede kenne ich nicht.</w:t>
      </w:r>
    </w:p>
    <w:p>
      <w:pPr>
        <w:pStyle w:val="Heading1"/>
        <w:widowControl/>
      </w:pPr>
      <w:r>
        <w:rPr>
          <w:rFonts w:ascii="Arial" w:hAnsi="Arial" w:eastAsia="Arial"/>
        </w:rPr>
        <w:t>2. Verhältnis zu Tilo</w:t>
      </w:r>
    </w:p>
    <w:p>
      <w:pPr>
        <w:widowControl/>
        <w:jc w:val="both"/>
      </w:pPr>
      <w:r>
        <w:rPr>
          <w:rFonts w:ascii="Arial" w:hAnsi="Arial" w:eastAsia="Arial"/>
        </w:rPr>
        <w:t>Tilo schied 2018 aus dem Unternehmen aus und verkaufte einen Teil seiner Anteile an meinen Vater. Er blieb mit 10 Prozent beteiligt. Seit dem Erbfall wirft er mir vor, mein Geschäftsführergehalt sei zu hoch und die geplante Fertigungslinie diene meiner persönlichen Expansion. Tatsächlich wurde die Investition bereits im Wirtschaftsplan 2025 beschlossen; die Finanzierung ist aber noch nicht vollzogen.</w:t>
      </w:r>
    </w:p>
    <w:p>
      <w:pPr>
        <w:pStyle w:val="Heading1"/>
        <w:widowControl/>
      </w:pPr>
      <w:r>
        <w:rPr>
          <w:rFonts w:ascii="Arial" w:hAnsi="Arial" w:eastAsia="Arial"/>
        </w:rPr>
        <w:t>3. Bank und Lieferanten</w:t>
      </w:r>
    </w:p>
    <w:p>
      <w:pPr>
        <w:widowControl/>
        <w:jc w:val="both"/>
      </w:pPr>
      <w:r>
        <w:rPr>
          <w:rFonts w:ascii="Arial" w:hAnsi="Arial" w:eastAsia="Arial"/>
        </w:rPr>
        <w:t>Die Mainfranken Bank hat die Betriebsmittellinie nicht vollständig gesperrt, aber nur bis 31. Juli bestätigt. Zwei Lieferanten verlangen kürzere Zahlungsziele. Für Juni werden rund 2,1 Millionen Euro Löhne, Material und Steuern fällig. Ein unklarer Pflichtteilsbetrag darf nicht aus der laufenden Liquidität versprochen werden.</w:t>
      </w:r>
    </w:p>
    <w:p>
      <w:pPr>
        <w:pStyle w:val="Heading1"/>
        <w:widowControl/>
      </w:pPr>
      <w:r>
        <w:rPr>
          <w:rFonts w:ascii="Arial" w:hAnsi="Arial" w:eastAsia="Arial"/>
        </w:rPr>
        <w:t>4. Vermögensangaben</w:t>
      </w:r>
    </w:p>
    <w:p>
      <w:pPr>
        <w:widowControl/>
        <w:jc w:val="both"/>
      </w:pPr>
      <w:r>
        <w:rPr>
          <w:rFonts w:ascii="Arial" w:hAnsi="Arial" w:eastAsia="Arial"/>
        </w:rPr>
        <w:t>Zum privaten Nachlass gehören das Wohnhaus in Höchberg, ein Wertpapierdepot und zwei Oldtimer. Mein Vater hatte außerdem ein Verrechnungskonto bei der GmbH. Ob der Saldo Forderung oder Verbindlichkeit ist, hängt von noch nicht verbuchten Reisekosten und einer Gewinnausschüttung ab. Ich wünsche eine offene Prüfung und keine Beschönigung.</w:t>
      </w:r>
    </w:p>
    <w:p>
      <w:pPr>
        <w:widowControl/>
        <w:jc w:val="both"/>
      </w:pPr>
      <w:r>
        <w:rPr>
          <w:rFonts w:ascii="Arial" w:hAnsi="Arial" w:eastAsia="Arial"/>
        </w:rPr>
        <w:t>Würzburg, 5. Mai 2026 Mara Baumann</w:t>
      </w:r>
    </w:p>
    <w:p>
      <w:pPr>
        <w:pStyle w:val="Heading1"/>
        <w:widowControl/>
      </w:pPr>
      <w:r>
        <w:rPr>
          <w:rFonts w:ascii="Arial" w:hAnsi="Arial" w:eastAsia="Arial"/>
        </w:rPr>
        <w:t>5. Ergänzende Unternehmensdaten</w:t>
      </w:r>
    </w:p>
    <w:p>
      <w:pPr>
        <w:keepLines w:val="0"/>
        <w:widowControl/>
      </w:pPr>
      <w:r>
        <w:rPr>
          <w:rFonts w:ascii="Arial" w:hAnsi="Arial" w:eastAsia="Arial"/>
        </w:rPr>
        <w:t>Mara übergab den Auftragseingang zum 30.04.2026, eine Liste der zehn größten Kunden und die Investitionsfreigabe vom 14.12.2025. Der Großkunde AeroMotion macht 24 Prozent des Umsatzes aus; kein Kunde überschreitet 30 Prozent. Zwei Stahlbestellungen müssen bis 20.07.2026 bezahlt werden.</w:t>
      </w:r>
    </w:p>
    <w:p>
      <w:pPr>
        <w:keepLines w:val="0"/>
        <w:widowControl/>
      </w:pPr>
      <w:r>
        <w:rPr>
          <w:rFonts w:ascii="Arial" w:hAnsi="Arial" w:eastAsia="Arial"/>
        </w:rPr>
        <w:t>Zum Verrechnungskonto ihres Vaters liegen Buchungen über Reisekosten, Gewinnausschüttung und ein privates Darlehen vor. Mara verlangt, jede Buchung einzeln zuzuordnen, bevor der Saldo als Forderung des Nachlasses verwendet wird.</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Kanzlei Steinbrück Partnerschaft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7B2D3B"/>
        <w:sz w:val="22"/>
      </w:rPr>
      <w:t>KANZLEI STEINBRÜCK PARTNERSCHAFT</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Mara Baumann</w:t>
          </w:r>
        </w:p>
        <w:p>
          <w:pPr>
            <w:spacing w:after="0"/>
          </w:pPr>
          <w:r>
            <w:rPr>
              <w:color w:val="6B7378"/>
              <w:sz w:val="15"/>
            </w:rPr>
            <w:t>Steinbachtal 32 | 97082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zur Unternehmensnachfolge meines Vaters</dc:title>
  <dc:subject>Persönliche Erklärung</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