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SATZUNGSAUSZUG</w:t>
      </w:r>
    </w:p>
    <w:p>
      <w:pPr>
        <w:widowControl/>
        <w:spacing w:after="40"/>
      </w:pPr>
      <w:r>
        <w:rPr>
          <w:rFonts w:ascii="Arial" w:hAnsi="Arial" w:eastAsia="Arial"/>
          <w:b/>
          <w:sz w:val="25"/>
        </w:rPr>
        <w:t>Baumann Präzision GmbH</w:t>
      </w:r>
    </w:p>
    <w:p>
      <w:pPr>
        <w:widowControl/>
        <w:spacing w:after="200"/>
      </w:pPr>
      <w:r>
        <w:rPr>
          <w:rFonts w:ascii="Arial" w:hAnsi="Arial" w:eastAsia="Arial"/>
          <w:color w:val="586069"/>
          <w:sz w:val="17"/>
        </w:rPr>
        <w:t>Sitz Würzburg | HRB 10482 | Stammkapital 1.000.000 EUR</w:t>
      </w:r>
    </w:p>
    <w:p>
      <w:pPr>
        <w:widowControl/>
        <w:spacing w:after="160"/>
      </w:pPr>
      <w:r>
        <w:rPr>
          <w:rFonts w:ascii="Arial" w:hAnsi="Arial" w:eastAsia="Arial"/>
        </w:rPr>
        <w:t>Gesellschafter und Notariat</w:t>
      </w:r>
    </w:p>
    <w:p>
      <w:pPr>
        <w:widowControl/>
        <w:spacing w:after="80"/>
      </w:pPr>
      <w:r>
        <w:rPr>
          <w:rFonts w:ascii="Arial" w:hAnsi="Arial" w:eastAsia="Arial"/>
          <w:color w:val="586069"/>
          <w:sz w:val="18"/>
        </w:rPr>
        <w:t>Datum: 10.01.2024  |  Zeichen: Satzung Stand 10.01.2024</w:t>
      </w:r>
    </w:p>
    <w:p>
      <w:pPr>
        <w:pStyle w:val="Title"/>
        <w:widowControl/>
      </w:pPr>
      <w:r>
        <w:rPr>
          <w:rFonts w:ascii="Arial" w:hAnsi="Arial" w:eastAsia="Arial"/>
        </w:rPr>
        <w:t>Auszug aus dem Gesellschaftsvertrag</w:t>
      </w:r>
    </w:p>
    <w:p>
      <w:pPr>
        <w:widowControl/>
        <w:jc w:val="both"/>
      </w:pPr>
      <w:r>
        <w:rPr>
          <w:rFonts w:ascii="Arial" w:hAnsi="Arial" w:eastAsia="Arial"/>
        </w:rPr>
        <w:t>Der Auszug gibt die für Tod, Übertragung und Stimmrechtsausübung maßgeblichen Regelungen der zuletzt zum Handelsregister eingereichten Satzung wieder.</w:t>
      </w:r>
    </w:p>
    <w:p>
      <w:pPr>
        <w:pStyle w:val="Heading1"/>
        <w:widowControl/>
      </w:pPr>
      <w:r>
        <w:rPr>
          <w:rFonts w:ascii="Arial" w:hAnsi="Arial" w:eastAsia="Arial"/>
        </w:rPr>
        <w:t>1. Geschäftsanteile</w:t>
      </w:r>
    </w:p>
    <w:tbl>
      <w:tblPr>
        <w:tblStyle w:val="TableGrid"/>
        <w:tblW w:type="dxa" w:w="9600"/>
        <w:tblLayout w:type="autofit"/>
        <w:tblLook w:firstColumn="1" w:firstRow="1" w:lastColumn="0" w:lastRow="0" w:noHBand="0" w:noVBand="1" w:val="04A0"/>
        <w:jc w:val="center"/>
        <w:tblInd w:w="120" w:type="dxa"/>
      </w:tblPr>
      <w:tblGrid>
        <w:gridCol w:w="3000"/>
        <w:gridCol w:w="2200"/>
        <w:gridCol w:w="2200"/>
        <w:gridCol w:w="2200"/>
      </w:tblGrid>
      <w:tr>
        <w:trPr>
          <w:tblHeader w:val="true"/>
          <w:tblHeader w:val="true"/>
          <w:tblHeader w:val="true"/>
          <w:tblHeader w:val="true"/>
          <w:tblHeader w:val="true"/>
          <w:tblHeader w:val="true"/>
        </w:trPr>
        <w:tc>
          <w:tcPr>
            <w:tcW w:type="dxa" w:w="3000"/>
            <w:vAlign w:val="center"/>
            <w:shd w:fill="17324D"/>
            <w:tcMar>
              <w:top w:w="90" w:type="dxa"/>
              <w:start w:w="100" w:type="dxa"/>
              <w:bottom w:w="90" w:type="dxa"/>
              <w:end w:w="100" w:type="dxa"/>
            </w:tcMar>
          </w:tcPr>
          <w:p>
            <w:pPr>
              <w:spacing w:after="30"/>
            </w:pPr>
            <w:r>
              <w:rPr>
                <w:rFonts w:ascii="Arial" w:hAnsi="Arial"/>
                <w:b/>
                <w:color w:val="FFFFFF"/>
                <w:sz w:val="17"/>
              </w:rPr>
              <w:t>Gesellschafter</w:t>
            </w:r>
          </w:p>
        </w:tc>
        <w:tc>
          <w:tcPr>
            <w:tcW w:type="dxa" w:w="2200"/>
            <w:vAlign w:val="center"/>
            <w:shd w:fill="17324D"/>
            <w:tcMar>
              <w:top w:w="90" w:type="dxa"/>
              <w:start w:w="100" w:type="dxa"/>
              <w:bottom w:w="90" w:type="dxa"/>
              <w:end w:w="100" w:type="dxa"/>
            </w:tcMar>
          </w:tcPr>
          <w:p>
            <w:pPr>
              <w:spacing w:after="30"/>
            </w:pPr>
            <w:r>
              <w:rPr>
                <w:rFonts w:ascii="Arial" w:hAnsi="Arial"/>
                <w:b/>
                <w:color w:val="FFFFFF"/>
                <w:sz w:val="17"/>
              </w:rPr>
              <w:t>Geschäftsanteile</w:t>
            </w:r>
          </w:p>
        </w:tc>
        <w:tc>
          <w:tcPr>
            <w:tcW w:type="dxa" w:w="2200"/>
            <w:vAlign w:val="center"/>
            <w:shd w:fill="17324D"/>
            <w:tcMar>
              <w:top w:w="90" w:type="dxa"/>
              <w:start w:w="100" w:type="dxa"/>
              <w:bottom w:w="90" w:type="dxa"/>
              <w:end w:w="100" w:type="dxa"/>
            </w:tcMar>
          </w:tcPr>
          <w:p>
            <w:pPr>
              <w:spacing w:after="30"/>
            </w:pPr>
            <w:r>
              <w:rPr>
                <w:rFonts w:ascii="Arial" w:hAnsi="Arial"/>
                <w:b/>
                <w:color w:val="FFFFFF"/>
                <w:sz w:val="17"/>
              </w:rPr>
              <w:t>Nennbetrag</w:t>
            </w:r>
          </w:p>
        </w:tc>
        <w:tc>
          <w:tcPr>
            <w:tcW w:type="dxa" w:w="2200"/>
            <w:vAlign w:val="center"/>
            <w:shd w:fill="17324D"/>
            <w:tcMar>
              <w:top w:w="90" w:type="dxa"/>
              <w:start w:w="100" w:type="dxa"/>
              <w:bottom w:w="90" w:type="dxa"/>
              <w:end w:w="100" w:type="dxa"/>
            </w:tcMar>
          </w:tcPr>
          <w:p>
            <w:pPr>
              <w:spacing w:after="30"/>
            </w:pPr>
            <w:r>
              <w:rPr>
                <w:rFonts w:ascii="Arial" w:hAnsi="Arial"/>
                <w:b/>
                <w:color w:val="FFFFFF"/>
                <w:sz w:val="17"/>
              </w:rPr>
              <w:t>Quote</w:t>
            </w:r>
          </w:p>
        </w:tc>
      </w:tr>
      <w:tr>
        <w:tc>
          <w:tcPr>
            <w:tcW w:type="dxa" w:w="3000"/>
            <w:vAlign w:val="center"/>
            <w:tcMar>
              <w:top w:w="90" w:type="dxa"/>
              <w:start w:w="100" w:type="dxa"/>
              <w:bottom w:w="90" w:type="dxa"/>
              <w:end w:w="100" w:type="dxa"/>
            </w:tcMar>
          </w:tcPr>
          <w:p>
            <w:pPr>
              <w:spacing w:after="30" w:line="259" w:lineRule="auto"/>
            </w:pPr>
            <w:r>
              <w:rPr>
                <w:rFonts w:ascii="Arial" w:hAnsi="Arial"/>
                <w:sz w:val="17"/>
              </w:rPr>
              <w:t>Heinrich Baumann</w:t>
            </w:r>
          </w:p>
        </w:tc>
        <w:tc>
          <w:tcPr>
            <w:tcW w:type="dxa" w:w="2200"/>
            <w:vAlign w:val="center"/>
            <w:tcMar>
              <w:top w:w="90" w:type="dxa"/>
              <w:start w:w="100" w:type="dxa"/>
              <w:bottom w:w="90" w:type="dxa"/>
              <w:end w:w="100" w:type="dxa"/>
            </w:tcMar>
          </w:tcPr>
          <w:p>
            <w:pPr>
              <w:spacing w:after="30" w:line="259" w:lineRule="auto"/>
            </w:pPr>
            <w:r>
              <w:rPr>
                <w:rFonts w:ascii="Arial" w:hAnsi="Arial"/>
                <w:sz w:val="17"/>
              </w:rPr>
              <w:t>Nr. 1-72</w:t>
            </w:r>
          </w:p>
        </w:tc>
        <w:tc>
          <w:tcPr>
            <w:tcW w:type="dxa" w:w="2200"/>
            <w:vAlign w:val="center"/>
            <w:tcMar>
              <w:top w:w="90" w:type="dxa"/>
              <w:start w:w="100" w:type="dxa"/>
              <w:bottom w:w="90" w:type="dxa"/>
              <w:end w:w="100" w:type="dxa"/>
            </w:tcMar>
          </w:tcPr>
          <w:p>
            <w:pPr>
              <w:spacing w:after="30" w:line="259" w:lineRule="auto"/>
            </w:pPr>
            <w:r>
              <w:rPr>
                <w:rFonts w:ascii="Arial" w:hAnsi="Arial"/>
                <w:sz w:val="17"/>
              </w:rPr>
              <w:t>720.000 EUR</w:t>
            </w:r>
          </w:p>
        </w:tc>
        <w:tc>
          <w:tcPr>
            <w:tcW w:type="dxa" w:w="2200"/>
            <w:vAlign w:val="center"/>
            <w:tcMar>
              <w:top w:w="90" w:type="dxa"/>
              <w:start w:w="100" w:type="dxa"/>
              <w:bottom w:w="90" w:type="dxa"/>
              <w:end w:w="100" w:type="dxa"/>
            </w:tcMar>
          </w:tcPr>
          <w:p>
            <w:pPr>
              <w:spacing w:after="30" w:line="259" w:lineRule="auto"/>
            </w:pPr>
            <w:r>
              <w:rPr>
                <w:rFonts w:ascii="Arial" w:hAnsi="Arial"/>
                <w:sz w:val="17"/>
              </w:rPr>
              <w:t>72 %</w:t>
            </w:r>
          </w:p>
        </w:tc>
      </w:tr>
      <w:tr>
        <w:tc>
          <w:tcPr>
            <w:tcW w:type="dxa" w:w="3000"/>
            <w:vAlign w:val="center"/>
            <w:shd w:fill="F2F4F5"/>
            <w:tcMar>
              <w:top w:w="90" w:type="dxa"/>
              <w:start w:w="100" w:type="dxa"/>
              <w:bottom w:w="90" w:type="dxa"/>
              <w:end w:w="100" w:type="dxa"/>
            </w:tcMar>
          </w:tcPr>
          <w:p>
            <w:pPr>
              <w:spacing w:after="30" w:line="259" w:lineRule="auto"/>
            </w:pPr>
            <w:r>
              <w:rPr>
                <w:rFonts w:ascii="Arial" w:hAnsi="Arial"/>
                <w:sz w:val="17"/>
              </w:rPr>
              <w:t>Mara Baumann</w:t>
            </w:r>
          </w:p>
        </w:tc>
        <w:tc>
          <w:tcPr>
            <w:tcW w:type="dxa" w:w="2200"/>
            <w:vAlign w:val="center"/>
            <w:shd w:fill="F2F4F5"/>
            <w:tcMar>
              <w:top w:w="90" w:type="dxa"/>
              <w:start w:w="100" w:type="dxa"/>
              <w:bottom w:w="90" w:type="dxa"/>
              <w:end w:w="100" w:type="dxa"/>
            </w:tcMar>
          </w:tcPr>
          <w:p>
            <w:pPr>
              <w:spacing w:after="30" w:line="259" w:lineRule="auto"/>
            </w:pPr>
            <w:r>
              <w:rPr>
                <w:rFonts w:ascii="Arial" w:hAnsi="Arial"/>
                <w:sz w:val="17"/>
              </w:rPr>
              <w:t>Nr. 73-90</w:t>
            </w:r>
          </w:p>
        </w:tc>
        <w:tc>
          <w:tcPr>
            <w:tcW w:type="dxa" w:w="2200"/>
            <w:vAlign w:val="center"/>
            <w:shd w:fill="F2F4F5"/>
            <w:tcMar>
              <w:top w:w="90" w:type="dxa"/>
              <w:start w:w="100" w:type="dxa"/>
              <w:bottom w:w="90" w:type="dxa"/>
              <w:end w:w="100" w:type="dxa"/>
            </w:tcMar>
          </w:tcPr>
          <w:p>
            <w:pPr>
              <w:spacing w:after="30" w:line="259" w:lineRule="auto"/>
            </w:pPr>
            <w:r>
              <w:rPr>
                <w:rFonts w:ascii="Arial" w:hAnsi="Arial"/>
                <w:sz w:val="17"/>
              </w:rPr>
              <w:t>180.000 EUR</w:t>
            </w:r>
          </w:p>
        </w:tc>
        <w:tc>
          <w:tcPr>
            <w:tcW w:type="dxa" w:w="2200"/>
            <w:vAlign w:val="center"/>
            <w:shd w:fill="F2F4F5"/>
            <w:tcMar>
              <w:top w:w="90" w:type="dxa"/>
              <w:start w:w="100" w:type="dxa"/>
              <w:bottom w:w="90" w:type="dxa"/>
              <w:end w:w="100" w:type="dxa"/>
            </w:tcMar>
          </w:tcPr>
          <w:p>
            <w:pPr>
              <w:spacing w:after="30" w:line="259" w:lineRule="auto"/>
            </w:pPr>
            <w:r>
              <w:rPr>
                <w:rFonts w:ascii="Arial" w:hAnsi="Arial"/>
                <w:sz w:val="17"/>
              </w:rPr>
              <w:t>18 %</w:t>
            </w:r>
          </w:p>
        </w:tc>
      </w:tr>
      <w:tr>
        <w:tc>
          <w:tcPr>
            <w:tcW w:type="dxa" w:w="3000"/>
            <w:vAlign w:val="center"/>
            <w:tcMar>
              <w:top w:w="90" w:type="dxa"/>
              <w:start w:w="100" w:type="dxa"/>
              <w:bottom w:w="90" w:type="dxa"/>
              <w:end w:w="100" w:type="dxa"/>
            </w:tcMar>
          </w:tcPr>
          <w:p>
            <w:pPr>
              <w:spacing w:after="30" w:line="259" w:lineRule="auto"/>
            </w:pPr>
            <w:r>
              <w:rPr>
                <w:rFonts w:ascii="Arial" w:hAnsi="Arial"/>
                <w:sz w:val="17"/>
              </w:rPr>
              <w:t>Tilo Baumann</w:t>
            </w:r>
          </w:p>
        </w:tc>
        <w:tc>
          <w:tcPr>
            <w:tcW w:type="dxa" w:w="2200"/>
            <w:vAlign w:val="center"/>
            <w:tcMar>
              <w:top w:w="90" w:type="dxa"/>
              <w:start w:w="100" w:type="dxa"/>
              <w:bottom w:w="90" w:type="dxa"/>
              <w:end w:w="100" w:type="dxa"/>
            </w:tcMar>
          </w:tcPr>
          <w:p>
            <w:pPr>
              <w:spacing w:after="30" w:line="259" w:lineRule="auto"/>
            </w:pPr>
            <w:r>
              <w:rPr>
                <w:rFonts w:ascii="Arial" w:hAnsi="Arial"/>
                <w:sz w:val="17"/>
              </w:rPr>
              <w:t>Nr. 91-100</w:t>
            </w:r>
          </w:p>
        </w:tc>
        <w:tc>
          <w:tcPr>
            <w:tcW w:type="dxa" w:w="2200"/>
            <w:vAlign w:val="center"/>
            <w:tcMar>
              <w:top w:w="90" w:type="dxa"/>
              <w:start w:w="100" w:type="dxa"/>
              <w:bottom w:w="90" w:type="dxa"/>
              <w:end w:w="100" w:type="dxa"/>
            </w:tcMar>
          </w:tcPr>
          <w:p>
            <w:pPr>
              <w:spacing w:after="30" w:line="259" w:lineRule="auto"/>
            </w:pPr>
            <w:r>
              <w:rPr>
                <w:rFonts w:ascii="Arial" w:hAnsi="Arial"/>
                <w:sz w:val="17"/>
              </w:rPr>
              <w:t>100.000 EUR</w:t>
            </w:r>
          </w:p>
        </w:tc>
        <w:tc>
          <w:tcPr>
            <w:tcW w:type="dxa" w:w="2200"/>
            <w:vAlign w:val="center"/>
            <w:tcMar>
              <w:top w:w="90" w:type="dxa"/>
              <w:start w:w="100" w:type="dxa"/>
              <w:bottom w:w="90" w:type="dxa"/>
              <w:end w:w="100" w:type="dxa"/>
            </w:tcMar>
          </w:tcPr>
          <w:p>
            <w:pPr>
              <w:spacing w:after="30" w:line="259" w:lineRule="auto"/>
            </w:pPr>
            <w:r>
              <w:rPr>
                <w:rFonts w:ascii="Arial" w:hAnsi="Arial"/>
                <w:sz w:val="17"/>
              </w:rPr>
              <w:t>10 %</w:t>
            </w:r>
          </w:p>
        </w:tc>
      </w:tr>
    </w:tbl>
    <w:p>
      <w:pPr>
        <w:widowControl/>
        <w:spacing w:after="0"/>
      </w:pPr>
    </w:p>
    <w:p>
      <w:pPr>
        <w:pStyle w:val="Heading1"/>
        <w:widowControl/>
      </w:pPr>
      <w:r>
        <w:rPr>
          <w:rFonts w:ascii="Arial" w:hAnsi="Arial" w:eastAsia="Arial"/>
        </w:rPr>
        <w:t>2. Verfügung und Vinkulierung</w:t>
      </w:r>
    </w:p>
    <w:p>
      <w:pPr>
        <w:widowControl/>
        <w:jc w:val="both"/>
      </w:pPr>
      <w:r>
        <w:rPr>
          <w:rFonts w:ascii="Arial" w:hAnsi="Arial" w:eastAsia="Arial"/>
        </w:rPr>
        <w:t>Die Abtretung, Verpfändung oder sonstige Verfügung über Geschäftsanteile bedarf eines Gesellschafterbeschlusses mit 75 Prozent der abgegebenen Stimmen. Der betroffene Gesellschafter ist stimmberechtigt, soweit zwingendes Recht nicht entgegensteht. Verfügungen von Todes wegen werden hierdurch nicht ausgeschlossen; der Erwerber muss sich jedoch den nachfolgenden Regelungen unterwerfen.</w:t>
      </w:r>
    </w:p>
    <w:p>
      <w:pPr>
        <w:pStyle w:val="Heading1"/>
        <w:widowControl/>
      </w:pPr>
      <w:r>
        <w:rPr>
          <w:rFonts w:ascii="Arial" w:hAnsi="Arial" w:eastAsia="Arial"/>
        </w:rPr>
        <w:t>3. Tod eines Gesellschafters</w:t>
      </w:r>
    </w:p>
    <w:p>
      <w:pPr>
        <w:widowControl/>
        <w:jc w:val="both"/>
      </w:pPr>
      <w:r>
        <w:rPr>
          <w:rFonts w:ascii="Arial" w:hAnsi="Arial" w:eastAsia="Arial"/>
        </w:rPr>
        <w:t>Geht ein Anteil auf mehrere Rechtsnachfolger über, können sie Gesellschafterrechte nur durch einen gemeinsamen Bevollmächtigten ausüben. Die Gesellschaft kann binnen zwölf Monaten die Einziehung oder Abtretung an einen Mitgesellschafter verlangen, wenn kein Abkömmling, Ehegatte oder eine vom Erblasser errichtete Stiftung Rechtsnachfolger ist. Rechte eines Testamentsvollstreckers richten sich nach Gesetz, Verfügung von Todes wegen und der nachgewiesenen Amtsstellung.</w:t>
      </w:r>
    </w:p>
    <w:p>
      <w:pPr>
        <w:pStyle w:val="Heading1"/>
        <w:widowControl/>
      </w:pPr>
      <w:r>
        <w:rPr>
          <w:rFonts w:ascii="Arial" w:hAnsi="Arial" w:eastAsia="Arial"/>
        </w:rPr>
        <w:t>4. Abfindung</w:t>
      </w:r>
    </w:p>
    <w:p>
      <w:pPr>
        <w:widowControl/>
        <w:jc w:val="both"/>
      </w:pPr>
      <w:r>
        <w:rPr>
          <w:rFonts w:ascii="Arial" w:hAnsi="Arial" w:eastAsia="Arial"/>
        </w:rPr>
        <w:t>Bei Einziehung ist der anteilige Unternehmenswert nach Ertragswertgrundsätzen maßgeblich. Nicht betriebsnotwendiges Vermögen wird gesondert berücksichtigt. Die Zahlung erfolgt in fünf gleichen Jahresraten; der offene Betrag wird mit zwei Prozentpunkten über dem Basiszinssatz verzinst. Eine Anpassung ist vorgesehen, wenn die Regelung im Einzelfall zu einem evident unangemessenen Ergebnis führt.</w:t>
      </w:r>
    </w:p>
    <w:p>
      <w:pPr>
        <w:widowControl/>
        <w:jc w:val="both"/>
      </w:pPr>
      <w:r>
        <w:rPr>
          <w:rFonts w:ascii="Arial" w:hAnsi="Arial" w:eastAsia="Arial"/>
        </w:rPr>
        <w:t>Würzburg, 10. Januar 2024 gez. Dr. Eva Küppers, Notarin - beglaubigte Abschrift</w:t>
      </w:r>
    </w:p>
    <w:p>
      <w:pPr>
        <w:pStyle w:val="Heading1"/>
        <w:widowControl/>
      </w:pPr>
      <w:r>
        <w:rPr>
          <w:rFonts w:ascii="Arial" w:hAnsi="Arial" w:eastAsia="Arial"/>
        </w:rPr>
        <w:t>5. Register- und Beschlussstand</w:t>
      </w:r>
    </w:p>
    <w:p>
      <w:pPr>
        <w:keepLines w:val="0"/>
        <w:widowControl/>
      </w:pPr>
      <w:r>
        <w:rPr>
          <w:rFonts w:ascii="Arial" w:hAnsi="Arial" w:eastAsia="Arial"/>
        </w:rPr>
        <w:t>Die Gesellschafterliste zum 11.04.2026 weist Heinrich mit 72 Prozent, Mara mit 18 Prozent und Tilo mit 10 Prozent aus. Nachlassanteile werden bis zur abgestimmten neuen Liste als eigener Block geführt. Der Notar verlangt Testament, Eröffnungsniederschrift und Testamentsvollstreckerzeugnis im Original oder als beglaubigte Abschrift.</w:t>
      </w:r>
    </w:p>
    <w:p>
      <w:pPr>
        <w:keepLines w:val="0"/>
        <w:widowControl/>
      </w:pPr>
      <w:r>
        <w:rPr>
          <w:rFonts w:ascii="Arial" w:hAnsi="Arial" w:eastAsia="Arial"/>
        </w:rPr>
        <w:t>Die Satzung enthält keine automatische Geschäftsführungsbefugnis des Testamentsvollstreckers. Umgekehrt sagt die operative Stellung Maras nicht allein, wer Gesellschafterrechte aus dem Nachlassanteil ausübt.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Baumann Präzision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2C5230"/>
        <w:sz w:val="24"/>
      </w:rPr>
      <w:t>Baumann Präzision GmbH</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Baumann Präzision GmbH</w:t>
          </w:r>
        </w:p>
        <w:p>
          <w:pPr>
            <w:spacing w:after="0"/>
          </w:pPr>
          <w:r>
            <w:rPr>
              <w:color w:val="6B7378"/>
              <w:sz w:val="15"/>
            </w:rPr>
            <w:t>Sitz Würzburg | HRB 10482 | Stammkapital 1000000 EUR</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Gesellschaftsvertrag</dc:title>
  <dc:subject>Satzung Stand 10.01.2024</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