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Erbscheinsverfahren – Anträge und Tatsachenstand</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Gericht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Amtsgericht Erfurt – Nachlassgericht</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Geschäftszeichen</w:t>
            </w:r>
          </w:p>
        </w:tc>
        <w:tc>
          <w:tcPr>
            <w:tcW w:type="dxa" w:w="4872"/>
            <w:vAlign w:val="center"/>
            <w:tcMar>
              <w:top w:w="90" w:type="dxa"/>
              <w:start w:w="100" w:type="dxa"/>
              <w:bottom w:w="90" w:type="dxa"/>
              <w:end w:w="100" w:type="dxa"/>
            </w:tcMar>
          </w:tcPr>
          <w:p>
            <w:pPr>
              <w:spacing w:after="30"/>
            </w:pPr>
            <w:r>
              <w:rPr>
                <w:rFonts w:ascii="Arial" w:hAnsi="Arial"/>
                <w:sz w:val="17"/>
              </w:rPr>
              <w:t>4 VI 388/26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Erblasser</w:t>
            </w:r>
          </w:p>
        </w:tc>
        <w:tc>
          <w:tcPr>
            <w:tcW w:type="dxa" w:w="4872"/>
            <w:vAlign w:val="center"/>
            <w:tcMar>
              <w:top w:w="90" w:type="dxa"/>
              <w:start w:w="100" w:type="dxa"/>
              <w:bottom w:w="90" w:type="dxa"/>
              <w:end w:w="100" w:type="dxa"/>
            </w:tcMar>
            <w:shd w:fill="F2F4F5"/>
          </w:tcPr>
          <w:p>
            <w:pPr>
              <w:spacing w:after="30"/>
            </w:pPr>
            <w:r>
              <w:rPr>
                <w:rFonts w:ascii="Arial" w:hAnsi="Arial"/>
                <w:sz w:val="17"/>
              </w:rPr>
              <w:t>Ralf Sander, verstorben am 08.06.2026</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Stand</w:t>
            </w:r>
          </w:p>
        </w:tc>
        <w:tc>
          <w:tcPr>
            <w:tcW w:type="dxa" w:w="4872"/>
            <w:vAlign w:val="center"/>
            <w:tcMar>
              <w:top w:w="90" w:type="dxa"/>
              <w:start w:w="100" w:type="dxa"/>
              <w:bottom w:w="90" w:type="dxa"/>
              <w:end w:w="100" w:type="dxa"/>
            </w:tcMar>
          </w:tcPr>
          <w:p>
            <w:pPr>
              <w:spacing w:after="30"/>
            </w:pPr>
            <w:r>
              <w:rPr>
                <w:rFonts w:ascii="Arial" w:hAnsi="Arial"/>
                <w:sz w:val="17"/>
              </w:rPr>
              <w:t>30.06.2026</w:t>
            </w:r>
          </w:p>
        </w:tc>
      </w:tr>
    </w:tbl>
    <w:p/>
    <w:p>
      <w:pPr>
        <w:pStyle w:val="Heading1"/>
      </w:pPr>
      <w:r>
        <w:t>1. Antrag Jonas Mielke-Sander</w:t>
      </w:r>
    </w:p>
    <w:p>
      <w:pPr>
        <w:keepLines w:val="0"/>
      </w:pPr>
      <w:r>
        <w:t>Jonas beantragt einen Alleinerbschein aufgrund des eigenhändigen Testaments vom 09.04.2025. Er hat Testament, Sterbeurkunde und beglaubigte Abschrift des Adoptionsbeschlusses vorgelegt. Zur Dringlichkeit verweist er auf Bank- und Registerfragen der Sander Präzisionsteile GmbH.</w:t>
      </w:r>
    </w:p>
    <w:p>
      <w:pPr>
        <w:pStyle w:val="Heading1"/>
      </w:pPr>
      <w:r>
        <w:t>2. Einwendungen Nele Sander</w:t>
      </w:r>
    </w:p>
    <w:p>
      <w:pPr>
        <w:keepLines w:val="0"/>
      </w:pPr>
      <w:r>
        <w:t>Nele beantragt Akteneinsicht und eine Anhörung vor Erteilung. Sie verlangt Aufklärung zur Fundkette des Testaments, zu Ralfs Gesundheits- und Kommunikationslage sowie zu den Unterlagen des Adoptionsverfahrens. Eine konkrete Testierunfähigkeit behauptet sie bislang nicht; medizinische Unterlagen liegen nur auszugsweise vor.</w:t>
      </w:r>
    </w:p>
    <w:p>
      <w:pPr>
        <w:pStyle w:val="Heading1"/>
      </w:pPr>
      <w:r>
        <w:t>3. Gerichtlicher Hinweis</w:t>
      </w:r>
    </w:p>
    <w:p>
      <w:pPr>
        <w:keepLines w:val="0"/>
      </w:pPr>
      <w:r>
        <w:t>Das Gericht weist darauf hin, dass Erbenstellung, Wirksamkeit des Testaments, Wirkungen der Adoption und spätere Pflichtteilsbewertung voneinander zu trennen sind. Unternehmenswerte und Zahlungsansprüche werden im Erbscheinsverfahren grundsätzlich nicht beziffert. Für eine Beweisaufnahme zu Testierfähigkeit oder unzulässigem Einfluss sind konkrete Tatsachen und Beweismittel erforderlich.</w:t>
      </w:r>
    </w:p>
    <w:p>
      <w:pPr>
        <w:pStyle w:val="Heading1"/>
      </w:pPr>
      <w:r>
        <w:t>4. Offene Verfahrensoptionen</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Option</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Voraussetzung</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Unmittelbare Folge</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Offener Nachteil</w:t>
            </w:r>
          </w:p>
        </w:tc>
      </w:tr>
      <w:tr>
        <w:tc>
          <w:tcPr>
            <w:tcW w:type="dxa" w:w="2436"/>
            <w:vAlign w:val="center"/>
            <w:tcMar>
              <w:top w:w="90" w:type="dxa"/>
              <w:start w:w="100" w:type="dxa"/>
              <w:bottom w:w="90" w:type="dxa"/>
              <w:end w:w="100" w:type="dxa"/>
            </w:tcMar>
          </w:tcPr>
          <w:p>
            <w:pPr>
              <w:spacing w:after="30"/>
            </w:pPr>
            <w:r>
              <w:rPr>
                <w:rFonts w:ascii="Arial" w:hAnsi="Arial"/>
                <w:sz w:val="17"/>
              </w:rPr>
              <w:t>Anhörung und weitere Aufklärung</w:t>
            </w:r>
          </w:p>
        </w:tc>
        <w:tc>
          <w:tcPr>
            <w:tcW w:type="dxa" w:w="2436"/>
            <w:vAlign w:val="center"/>
            <w:tcMar>
              <w:top w:w="90" w:type="dxa"/>
              <w:start w:w="100" w:type="dxa"/>
              <w:bottom w:w="90" w:type="dxa"/>
              <w:end w:w="100" w:type="dxa"/>
            </w:tcMar>
          </w:tcPr>
          <w:p>
            <w:pPr>
              <w:spacing w:after="30"/>
            </w:pPr>
            <w:r>
              <w:rPr>
                <w:rFonts w:ascii="Arial" w:hAnsi="Arial"/>
                <w:sz w:val="17"/>
              </w:rPr>
              <w:t>konkrete Tatsachen</w:t>
            </w:r>
          </w:p>
        </w:tc>
        <w:tc>
          <w:tcPr>
            <w:tcW w:type="dxa" w:w="2436"/>
            <w:vAlign w:val="center"/>
            <w:tcMar>
              <w:top w:w="90" w:type="dxa"/>
              <w:start w:w="100" w:type="dxa"/>
              <w:bottom w:w="90" w:type="dxa"/>
              <w:end w:w="100" w:type="dxa"/>
            </w:tcMar>
          </w:tcPr>
          <w:p>
            <w:pPr>
              <w:spacing w:after="30"/>
            </w:pPr>
            <w:r>
              <w:rPr>
                <w:rFonts w:ascii="Arial" w:hAnsi="Arial"/>
                <w:sz w:val="17"/>
              </w:rPr>
              <w:t>Verfahrensverzögerung möglich</w:t>
            </w:r>
          </w:p>
        </w:tc>
        <w:tc>
          <w:tcPr>
            <w:tcW w:type="dxa" w:w="2436"/>
            <w:vAlign w:val="center"/>
            <w:tcMar>
              <w:top w:w="90" w:type="dxa"/>
              <w:start w:w="100" w:type="dxa"/>
              <w:bottom w:w="90" w:type="dxa"/>
              <w:end w:w="100" w:type="dxa"/>
            </w:tcMar>
          </w:tcPr>
          <w:p>
            <w:pPr>
              <w:spacing w:after="30"/>
            </w:pPr>
            <w:r>
              <w:rPr>
                <w:rFonts w:ascii="Arial" w:hAnsi="Arial"/>
                <w:sz w:val="17"/>
              </w:rPr>
              <w:t>Kosten und Beweisrisiko</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Beschränkung auf Akteneinsicht</w:t>
            </w:r>
          </w:p>
        </w:tc>
        <w:tc>
          <w:tcPr>
            <w:tcW w:type="dxa" w:w="2436"/>
            <w:vAlign w:val="center"/>
            <w:tcMar>
              <w:top w:w="90" w:type="dxa"/>
              <w:start w:w="100" w:type="dxa"/>
              <w:bottom w:w="90" w:type="dxa"/>
              <w:end w:w="100" w:type="dxa"/>
            </w:tcMar>
            <w:shd w:fill="F2F4F5"/>
          </w:tcPr>
          <w:p>
            <w:pPr>
              <w:spacing w:after="30"/>
            </w:pPr>
            <w:r>
              <w:rPr>
                <w:rFonts w:ascii="Arial" w:hAnsi="Arial"/>
                <w:sz w:val="17"/>
              </w:rPr>
              <w:t>vollständige Gerichtsakte</w:t>
            </w:r>
          </w:p>
        </w:tc>
        <w:tc>
          <w:tcPr>
            <w:tcW w:type="dxa" w:w="2436"/>
            <w:vAlign w:val="center"/>
            <w:tcMar>
              <w:top w:w="90" w:type="dxa"/>
              <w:start w:w="100" w:type="dxa"/>
              <w:bottom w:w="90" w:type="dxa"/>
              <w:end w:w="100" w:type="dxa"/>
            </w:tcMar>
            <w:shd w:fill="F2F4F5"/>
          </w:tcPr>
          <w:p>
            <w:pPr>
              <w:spacing w:after="30"/>
            </w:pPr>
            <w:r>
              <w:rPr>
                <w:rFonts w:ascii="Arial" w:hAnsi="Arial"/>
                <w:sz w:val="17"/>
              </w:rPr>
              <w:t>schnellere Tatsachenbasis</w:t>
            </w:r>
          </w:p>
        </w:tc>
        <w:tc>
          <w:tcPr>
            <w:tcW w:type="dxa" w:w="2436"/>
            <w:vAlign w:val="center"/>
            <w:tcMar>
              <w:top w:w="90" w:type="dxa"/>
              <w:start w:w="100" w:type="dxa"/>
              <w:bottom w:w="90" w:type="dxa"/>
              <w:end w:w="100" w:type="dxa"/>
            </w:tcMar>
            <w:shd w:fill="F2F4F5"/>
          </w:tcPr>
          <w:p>
            <w:pPr>
              <w:spacing w:after="30"/>
            </w:pPr>
            <w:r>
              <w:rPr>
                <w:rFonts w:ascii="Arial" w:hAnsi="Arial"/>
                <w:sz w:val="17"/>
              </w:rPr>
              <w:t>keine Sicherung von Nachlasswerten</w:t>
            </w:r>
          </w:p>
        </w:tc>
      </w:tr>
      <w:tr>
        <w:tc>
          <w:tcPr>
            <w:tcW w:type="dxa" w:w="2436"/>
            <w:vAlign w:val="center"/>
            <w:tcMar>
              <w:top w:w="90" w:type="dxa"/>
              <w:start w:w="100" w:type="dxa"/>
              <w:bottom w:w="90" w:type="dxa"/>
              <w:end w:w="100" w:type="dxa"/>
            </w:tcMar>
          </w:tcPr>
          <w:p>
            <w:pPr>
              <w:spacing w:after="30"/>
            </w:pPr>
            <w:r>
              <w:rPr>
                <w:rFonts w:ascii="Arial" w:hAnsi="Arial"/>
                <w:sz w:val="17"/>
              </w:rPr>
              <w:t>Parallel Auskunft verlangen</w:t>
            </w:r>
          </w:p>
        </w:tc>
        <w:tc>
          <w:tcPr>
            <w:tcW w:type="dxa" w:w="2436"/>
            <w:vAlign w:val="center"/>
            <w:tcMar>
              <w:top w:w="90" w:type="dxa"/>
              <w:start w:w="100" w:type="dxa"/>
              <w:bottom w:w="90" w:type="dxa"/>
              <w:end w:w="100" w:type="dxa"/>
            </w:tcMar>
          </w:tcPr>
          <w:p>
            <w:pPr>
              <w:spacing w:after="30"/>
            </w:pPr>
            <w:r>
              <w:rPr>
                <w:rFonts w:ascii="Arial" w:hAnsi="Arial"/>
                <w:sz w:val="17"/>
              </w:rPr>
              <w:t>Pflichtteilsberechtigung</w:t>
            </w:r>
          </w:p>
        </w:tc>
        <w:tc>
          <w:tcPr>
            <w:tcW w:type="dxa" w:w="2436"/>
            <w:vAlign w:val="center"/>
            <w:tcMar>
              <w:top w:w="90" w:type="dxa"/>
              <w:start w:w="100" w:type="dxa"/>
              <w:bottom w:w="90" w:type="dxa"/>
              <w:end w:w="100" w:type="dxa"/>
            </w:tcMar>
          </w:tcPr>
          <w:p>
            <w:pPr>
              <w:spacing w:after="30"/>
            </w:pPr>
            <w:r>
              <w:rPr>
                <w:rFonts w:ascii="Arial" w:hAnsi="Arial"/>
                <w:sz w:val="17"/>
              </w:rPr>
              <w:t>Nachlass- und Bewertungsdaten</w:t>
            </w:r>
          </w:p>
        </w:tc>
        <w:tc>
          <w:tcPr>
            <w:tcW w:type="dxa" w:w="2436"/>
            <w:vAlign w:val="center"/>
            <w:tcMar>
              <w:top w:w="90" w:type="dxa"/>
              <w:start w:w="100" w:type="dxa"/>
              <w:bottom w:w="90" w:type="dxa"/>
              <w:end w:w="100" w:type="dxa"/>
            </w:tcMar>
          </w:tcPr>
          <w:p>
            <w:pPr>
              <w:spacing w:after="30"/>
            </w:pPr>
            <w:r>
              <w:rPr>
                <w:rFonts w:ascii="Arial" w:hAnsi="Arial"/>
                <w:sz w:val="17"/>
              </w:rPr>
              <w:t>getrennter Gegner und Streitgegenstand</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Zwischenvereinbarung Unternehmen</w:t>
            </w:r>
          </w:p>
        </w:tc>
        <w:tc>
          <w:tcPr>
            <w:tcW w:type="dxa" w:w="2436"/>
            <w:vAlign w:val="center"/>
            <w:tcMar>
              <w:top w:w="90" w:type="dxa"/>
              <w:start w:w="100" w:type="dxa"/>
              <w:bottom w:w="90" w:type="dxa"/>
              <w:end w:w="100" w:type="dxa"/>
            </w:tcMar>
            <w:shd w:fill="F2F4F5"/>
          </w:tcPr>
          <w:p>
            <w:pPr>
              <w:spacing w:after="30"/>
            </w:pPr>
            <w:r>
              <w:rPr>
                <w:rFonts w:ascii="Arial" w:hAnsi="Arial"/>
                <w:sz w:val="17"/>
              </w:rPr>
              <w:t>Zustimmung Beteiligter</w:t>
            </w:r>
          </w:p>
        </w:tc>
        <w:tc>
          <w:tcPr>
            <w:tcW w:type="dxa" w:w="2436"/>
            <w:vAlign w:val="center"/>
            <w:tcMar>
              <w:top w:w="90" w:type="dxa"/>
              <w:start w:w="100" w:type="dxa"/>
              <w:bottom w:w="90" w:type="dxa"/>
              <w:end w:w="100" w:type="dxa"/>
            </w:tcMar>
            <w:shd w:fill="F2F4F5"/>
          </w:tcPr>
          <w:p>
            <w:pPr>
              <w:spacing w:after="30"/>
            </w:pPr>
            <w:r>
              <w:rPr>
                <w:rFonts w:ascii="Arial" w:hAnsi="Arial"/>
                <w:sz w:val="17"/>
              </w:rPr>
              <w:t>Handlungsfähigkeit ohne Wertfestlegung</w:t>
            </w:r>
          </w:p>
        </w:tc>
        <w:tc>
          <w:tcPr>
            <w:tcW w:type="dxa" w:w="2436"/>
            <w:vAlign w:val="center"/>
            <w:tcMar>
              <w:top w:w="90" w:type="dxa"/>
              <w:start w:w="100" w:type="dxa"/>
              <w:bottom w:w="90" w:type="dxa"/>
              <w:end w:w="100" w:type="dxa"/>
            </w:tcMar>
            <w:shd w:fill="F2F4F5"/>
          </w:tcPr>
          <w:p>
            <w:pPr>
              <w:spacing w:after="30"/>
            </w:pPr>
            <w:r>
              <w:rPr>
                <w:rFonts w:ascii="Arial" w:hAnsi="Arial"/>
                <w:sz w:val="17"/>
              </w:rPr>
              <w:t>Sicherheiten und Umfang</w:t>
            </w:r>
          </w:p>
        </w:tc>
      </w:tr>
    </w:tbl>
    <w:p>
      <w:pPr>
        <w:pStyle w:val="Heading1"/>
      </w:pPr>
      <w:r>
        <w:t>5. Kanzleivermerk</w:t>
      </w:r>
    </w:p>
    <w:p>
      <w:pPr>
        <w:keepLines w:val="0"/>
      </w:pPr>
      <w:r>
        <w:t>Die Akte gibt keine taktische Präferenz vor. Eine Entscheidung der Mandantin soll erst nach Akteneinsicht, Fristenkontrolle, Belegprüfung und Kosteninformation erfolgen.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3. Gerichtlicher Hinweis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4"/>
      </w:rPr>
      <w:t>3. Gerichtlicher Hinweis</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Erfurt</w:t>
          </w:r>
        </w:p>
        <w:p>
          <w:pPr>
            <w:spacing w:after="0"/>
          </w:pPr>
          <w:r>
            <w:rPr>
              <w:color w:val="6B7378"/>
              <w:sz w:val="15"/>
            </w:rPr>
            <w:t>Nachlassgericht | Rudolfstraße 46 | 99092 Erfurt | 4 VI 388/26</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