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Testament vom 09. November 2019 — Volltext und Auslegungsvermerke</w:t>
      </w:r>
    </w:p>
    <w:p>
      <w:pPr>
        <w:jc w:val="left"/>
      </w:pPr>
      <w:r>
        <w:rPr>
          <w:b/>
        </w:rPr>
        <w:t>Az.:</w:t>
      </w:r>
      <w:r>
        <w:t xml:space="preserve"> KlKette 025/0422-ERB-EDE</w:t>
      </w:r>
    </w:p>
    <w:p>
      <w:pPr>
        <w:jc w:val="left"/>
      </w:pPr>
      <w:r>
        <w:rPr>
          <w:b/>
        </w:rPr>
        <w:t>Bearbeiterin:</w:t>
      </w:r>
      <w:r>
        <w:t xml:space="preserve"> RAin Steinkamp</w:t>
      </w:r>
    </w:p>
    <w:p>
      <w:pPr>
        <w:jc w:val="left"/>
      </w:pPr>
      <w:r>
        <w:rPr>
          <w:b/>
        </w:rPr>
        <w:t>Stand:</w:t>
      </w:r>
      <w:r>
        <w:t xml:space="preserve"> 29.04.2025</w:t>
      </w:r>
    </w:p>
    <w:p/>
    <w:p>
      <w:pPr>
        <w:pStyle w:val="Heading2"/>
      </w:pPr>
      <w:r>
        <w:rPr>
          <w:rFonts w:ascii="Times New Roman" w:hAnsi="Times New Roman"/>
        </w:rPr>
        <w:t>1. Volltext des Testaments (Fotografie, authentifiziert durch Nachlassgericht)</w:t>
      </w:r>
    </w:p>
    <w:p>
      <w:pPr>
        <w:jc w:val="left"/>
      </w:pPr>
      <w:r>
        <w:t>Das handschriftliche Testament wurde am 25.03.2025 durch Marlies Edelmann-Praun beim Nachlassgericht Stuttgart (AG Stuttgart, Abt. 24) eingereicht. Das Gericht hat es am 28.03.2025 unter Az. 24 VI 213/25 eröffnet und den Beteiligten in beglaubigter Abschrift übermittelt. Die nachfolgende Wiedergabe entspricht dem Wortlaut der beglaubigten Abschrift; Groß-/Kleinschreibung und Interpunktion sind wie im Original übernommen.</w:t>
      </w:r>
    </w:p>
    <w:p/>
    <w:p>
      <w:pPr>
        <w:ind w:left="567"/>
      </w:pPr>
      <w:r>
        <w:rPr>
          <w:b/>
          <w:i/>
        </w:rPr>
        <w:t>Mein Testament</w:t>
      </w:r>
    </w:p>
    <w:p>
      <w:pPr>
        <w:ind w:left="567"/>
      </w:pPr>
    </w:p>
    <w:p>
      <w:pPr>
        <w:ind w:left="567"/>
      </w:pPr>
      <w:r>
        <w:rPr>
          <w:i/>
        </w:rPr>
        <w:t>Stuttgart, den 9. November 2019</w:t>
      </w:r>
    </w:p>
    <w:p>
      <w:pPr>
        <w:ind w:left="567"/>
      </w:pPr>
    </w:p>
    <w:p>
      <w:pPr>
        <w:ind w:left="567"/>
      </w:pPr>
      <w:r>
        <w:rPr>
          <w:i/>
        </w:rPr>
        <w:t>Ich, Reinhard Edelmann, geboren am 3. Februar 1947, wohnhaft in Stuttgart-Degerloch, Sonnenbergstraße 38 a, errichte hiermit mein letztes Testament in dem mir von Gott und Gesetz gegebenen freien Willen.</w:t>
      </w:r>
    </w:p>
    <w:p>
      <w:pPr>
        <w:ind w:left="567"/>
      </w:pPr>
    </w:p>
    <w:p>
      <w:pPr>
        <w:ind w:left="567"/>
      </w:pPr>
      <w:r>
        <w:rPr>
          <w:b/>
          <w:i/>
        </w:rPr>
        <w:t>Erbeinsetzung.</w:t>
      </w:r>
      <w:r>
        <w:rPr>
          <w:i/>
        </w:rPr>
        <w:t xml:space="preserve"> Ich setze als meine Erben zu gleichen Teilen — das heißt zu je einem Viertel — ein:</w:t>
      </w:r>
    </w:p>
    <w:p>
      <w:pPr>
        <w:ind w:left="567"/>
      </w:pPr>
      <w:r>
        <w:rPr>
          <w:i/>
        </w:rPr>
        <w:t>1. meine Ehefrau Marlies Edelmann-Praun,</w:t>
      </w:r>
    </w:p>
    <w:p>
      <w:pPr>
        <w:ind w:left="567"/>
      </w:pPr>
      <w:r>
        <w:rPr>
          <w:i/>
        </w:rPr>
        <w:t>2. meine Tochter Dr. Henrike Edelmann,</w:t>
      </w:r>
    </w:p>
    <w:p>
      <w:pPr>
        <w:ind w:left="567"/>
      </w:pPr>
      <w:r>
        <w:rPr>
          <w:i/>
        </w:rPr>
        <w:t>3. meinen Sohn Constantin Edelmann,</w:t>
      </w:r>
    </w:p>
    <w:p>
      <w:pPr>
        <w:ind w:left="567"/>
      </w:pPr>
      <w:r>
        <w:rPr>
          <w:i/>
        </w:rPr>
        <w:t>4. meine Tochter Marie-Theres Edelmann-Berlepsch.</w:t>
      </w:r>
    </w:p>
    <w:p>
      <w:pPr>
        <w:ind w:left="567"/>
      </w:pPr>
    </w:p>
    <w:p>
      <w:pPr>
        <w:ind w:left="567"/>
      </w:pPr>
      <w:r>
        <w:rPr>
          <w:b/>
          <w:i/>
        </w:rPr>
        <w:t>Vorausvermächtnis Wohnrecht.</w:t>
      </w:r>
      <w:r>
        <w:rPr>
          <w:i/>
        </w:rPr>
        <w:t xml:space="preserve"> Meiner Ehefrau Marlies vermache ich als Vorausvermächtnis das lebenslange, unentgeltliche und dingliche Wohnrecht an dem Hausgrundstück Sonnenbergstraße 38 a, Stuttgart, das im Grundbuch Degerloch Blatt 1144, Flurstück 4892/7 eingetragen ist. Das Wohnrecht umfasst das gesamte Gebäude mit Garten und Garage. Die Grundbucheintragung ist unverzüglich nach meinem Tod zu veranlassen. Kosten trägt der Nachlass. Das Wohnrecht erlischt mit dem Tod meiner Frau oder mit ihrem freiwilligen dauerhaften Auszug.</w:t>
      </w:r>
    </w:p>
    <w:p>
      <w:pPr>
        <w:ind w:left="567"/>
      </w:pPr>
    </w:p>
    <w:p>
      <w:pPr>
        <w:ind w:left="567"/>
      </w:pPr>
      <w:r>
        <w:rPr>
          <w:b/>
          <w:i/>
        </w:rPr>
        <w:t>Schenkungen unter Lebenden.</w:t>
      </w:r>
      <w:r>
        <w:rPr>
          <w:i/>
        </w:rPr>
        <w:t xml:space="preserve"> Schenkungen, die ich zu Lebzeiten an meine Kinder geleistet habe, sollen als Vorempfang auf den jeweiligen Erbteil angerechnet werden, soweit sie den Betrag von 50.000 Euro je Schenkung übersteigen. Ich bitte meine Kinder, in diesem Sinne untereinander fair zu verfahren.</w:t>
      </w:r>
    </w:p>
    <w:p>
      <w:pPr>
        <w:ind w:left="567"/>
      </w:pPr>
    </w:p>
    <w:p>
      <w:pPr>
        <w:ind w:left="567"/>
      </w:pPr>
      <w:r>
        <w:rPr>
          <w:b/>
          <w:i/>
        </w:rPr>
        <w:t>Digitales Vermögen.</w:t>
      </w:r>
      <w:r>
        <w:rPr>
          <w:i/>
        </w:rPr>
        <w:t xml:space="preserve"> Mein digitales Vermögen — insbesondere meine Anteile an Kryptowährungen, wie immer diese technisch verwahrt werden — ist Teil meines Nachlasses und fällt unter die allgemeine Erbquote. Näheres zu den Zugangsdaten und Sicherheitsverfahren ist in einem versiegelten Kuvert in meinem Tresor niedergelegt; das Kuvert ist nach meinem Tod durch alle Erben gemeinsam zu öffnen.</w:t>
      </w:r>
    </w:p>
    <w:p>
      <w:pPr>
        <w:ind w:left="567"/>
      </w:pPr>
    </w:p>
    <w:p>
      <w:pPr>
        <w:ind w:left="567"/>
      </w:pPr>
      <w:r>
        <w:rPr>
          <w:b/>
          <w:i/>
        </w:rPr>
        <w:t>Testamentsvollstreckung.</w:t>
      </w:r>
      <w:r>
        <w:rPr>
          <w:i/>
        </w:rPr>
        <w:t xml:space="preserve"> Mein langjähriger Anwalt und Vertrauter, Rechtsanwalt Dr. Friedrich Trotz, Stuttgart-Mitte, soll die Auseinandersetzung als Testamentsvollstrecker überwachen und die Erbengemeinschaft einigen. Ich vertraue ihm vollständig. Eine Vergütung soll er erhalten.</w:t>
      </w:r>
    </w:p>
    <w:p>
      <w:pPr>
        <w:ind w:left="567"/>
      </w:pPr>
    </w:p>
    <w:p>
      <w:pPr>
        <w:ind w:left="567"/>
      </w:pPr>
      <w:r>
        <w:rPr>
          <w:b/>
          <w:i/>
        </w:rPr>
        <w:t>Beerdigung.</w:t>
      </w:r>
      <w:r>
        <w:rPr>
          <w:i/>
        </w:rPr>
        <w:t xml:space="preserve"> Ich wünsche eine stille Urnenbeerdigung auf dem Waldfriedhof Stuttgart-Degerloch in der Nähe meiner Mutter.</w:t>
      </w:r>
    </w:p>
    <w:p>
      <w:pPr>
        <w:ind w:left="567"/>
      </w:pPr>
    </w:p>
    <w:p>
      <w:pPr>
        <w:ind w:left="567"/>
      </w:pPr>
      <w:r>
        <w:rPr>
          <w:b/>
          <w:i/>
        </w:rPr>
        <w:t>Schlussklausel.</w:t>
      </w:r>
      <w:r>
        <w:rPr>
          <w:i/>
        </w:rPr>
        <w:t xml:space="preserve"> Dieses Testament habe ich eigenhändig geschrieben und unterschrieben. Etwaige frühere Testamente hebe ich hiermit auf.</w:t>
      </w:r>
    </w:p>
    <w:p>
      <w:pPr>
        <w:ind w:left="567"/>
      </w:pPr>
    </w:p>
    <w:p>
      <w:pPr>
        <w:ind w:left="567"/>
      </w:pPr>
      <w:r>
        <w:rPr>
          <w:i/>
        </w:rPr>
        <w:t>Reinhard Edelmann</w:t>
      </w:r>
    </w:p>
    <w:p>
      <w:pPr>
        <w:ind w:left="567"/>
      </w:pPr>
      <w:r>
        <w:rPr>
          <w:i/>
        </w:rPr>
        <w:t>Stuttgart, 9. November 2019</w:t>
      </w:r>
    </w:p>
    <w:p/>
    <w:p>
      <w:pPr>
        <w:pStyle w:val="Heading2"/>
      </w:pPr>
      <w:r>
        <w:rPr>
          <w:rFonts w:ascii="Times New Roman" w:hAnsi="Times New Roman"/>
        </w:rPr>
        <w:t>2. Formelle Prüfung</w:t>
      </w:r>
    </w:p>
    <w:p>
      <w:pPr>
        <w:pStyle w:val="Heading3"/>
      </w:pPr>
      <w:r>
        <w:rPr>
          <w:rFonts w:ascii="Times New Roman" w:hAnsi="Times New Roman"/>
        </w:rPr>
        <w:t>2.1 Eigenhändigkeit (Paragraf 2247 BGB)</w:t>
      </w:r>
    </w:p>
    <w:p>
      <w:pPr>
        <w:jc w:val="left"/>
      </w:pPr>
      <w:r>
        <w:t>Das Nachlassgericht hat die Eigenhändigkeit im Rahmen der Eröffnung summarisch bejaht. Ein Schriftgutachten liegt nicht vor. Henrike hält die Handschrift für die des Vaters; Constantin hat auf Nachfrage zugestimmt. Marlies hat keine Einwände erhoben.</w:t>
      </w:r>
    </w:p>
    <w:p>
      <w:pPr>
        <w:jc w:val="left"/>
      </w:pPr>
      <w:r>
        <w:rPr>
          <w:b/>
        </w:rPr>
        <w:t>Bewertung:</w:t>
      </w:r>
      <w:r>
        <w:t xml:space="preserve"> Es gibt keine Anhaltspunkte für Fremdeinwirkung; das Testament gilt als formwirksam. Sollte eine Partei die Echtheit in Zweifel ziehen (etwa im Kontext einer Anfechtung), wäre ein forensisches Schriftgutachten einzuholen.</w:t>
      </w:r>
    </w:p>
    <w:p>
      <w:pPr>
        <w:pStyle w:val="Heading3"/>
      </w:pPr>
      <w:r>
        <w:rPr>
          <w:rFonts w:ascii="Times New Roman" w:hAnsi="Times New Roman"/>
        </w:rPr>
        <w:t>2.2 Datumsangabe</w:t>
      </w:r>
    </w:p>
    <w:p>
      <w:pPr>
        <w:jc w:val="left"/>
      </w:pPr>
      <w:r>
        <w:t>Datum und Ort angegeben (Stuttgart, 9. November 2019). Vollständig iSd Paragraf 2247 Abs. 2 BGB.</w:t>
      </w:r>
    </w:p>
    <w:p>
      <w:pPr>
        <w:pStyle w:val="Heading3"/>
      </w:pPr>
      <w:r>
        <w:rPr>
          <w:rFonts w:ascii="Times New Roman" w:hAnsi="Times New Roman"/>
        </w:rPr>
        <w:t>2.3 Unterschrift</w:t>
      </w:r>
    </w:p>
    <w:p>
      <w:pPr>
        <w:jc w:val="left"/>
      </w:pPr>
      <w:r>
        <w:t>Unterschrift mit vollem Familiennamen am Ende vorhanden.</w:t>
      </w:r>
    </w:p>
    <w:p>
      <w:pPr>
        <w:pStyle w:val="Heading3"/>
      </w:pPr>
      <w:r>
        <w:rPr>
          <w:rFonts w:ascii="Times New Roman" w:hAnsi="Times New Roman"/>
        </w:rPr>
        <w:t>2.4 Aufhebung früherer Testamente</w:t>
      </w:r>
    </w:p>
    <w:p>
      <w:pPr>
        <w:jc w:val="left"/>
      </w:pPr>
      <w:r>
        <w:t>Die Schlussklausel hebt frühere Testamente ausdrücklich auf. Informationen über frühere Testamente liegen nicht vor.</w:t>
      </w:r>
    </w:p>
    <w:p/>
    <w:p>
      <w:pPr>
        <w:pStyle w:val="Heading2"/>
      </w:pPr>
      <w:r>
        <w:rPr>
          <w:rFonts w:ascii="Times New Roman" w:hAnsi="Times New Roman"/>
        </w:rPr>
        <w:t>3. Materielle Auslegungsfragen</w:t>
      </w:r>
    </w:p>
    <w:p>
      <w:pPr>
        <w:pStyle w:val="Heading3"/>
      </w:pPr>
      <w:r>
        <w:rPr>
          <w:rFonts w:ascii="Times New Roman" w:hAnsi="Times New Roman"/>
        </w:rPr>
        <w:t>3.1 Vorausvermächtnis Wohnrecht — Anrechnung auf Erbanteil</w:t>
      </w:r>
    </w:p>
    <w:p>
      <w:pPr>
        <w:jc w:val="left"/>
      </w:pPr>
      <w:r>
        <w:t>Das Testament bezeichnet das Wohnrecht als „Vorausvermächtnis". Paragraf 2150 BGB regelt, dass ein Vorausvermächtnis nicht auf den Erbteil des Begünstigten angerechnet wird. Marlies erhält das Wohnrecht also zusätzlich zu ihrem 1/4-Erbteil.</w:t>
      </w:r>
    </w:p>
    <w:p>
      <w:pPr>
        <w:jc w:val="left"/>
      </w:pPr>
      <w:r>
        <w:t>Das Wohnrecht ist eine beschränkte persönliche Dienstbarkeit nach Paragraf 1093 BGB. Sein Kapitalwert ist erheblich: Bei einem Grundstückswert von ca. 1,85 Mio. EUR, einem Rentenbarwertfaktor für Marlies' Lebenserwartung (Alter 61, stat. Lebenserwartung ca. 25 Jahre) und einem Wohnrechtsanteil am Gesamtwert von etwa 45–55 % ergibt sich ein Barwert des Wohnrechts von geschätzt 280.000–400.000 EUR.</w:t>
      </w:r>
    </w:p>
    <w:p>
      <w:pPr>
        <w:jc w:val="left"/>
      </w:pPr>
      <w:r>
        <w:rPr>
          <w:b/>
        </w:rPr>
        <w:t>Streitpotenzial:</w:t>
      </w:r>
      <w:r>
        <w:t xml:space="preserve"> Henrike sieht das Wohnrecht als übermäßige Begünstigung Marlies' im Verhältnis zu den Kindern. Marlies besteht auf voller Durchsetzung. Der genaue Wert des Wohnrechts ist im Sachverständigengutachten zu klären (→ Aktenstück 06).</w:t>
      </w:r>
    </w:p>
    <w:p>
      <w:pPr>
        <w:pStyle w:val="Heading3"/>
      </w:pPr>
      <w:r>
        <w:rPr>
          <w:rFonts w:ascii="Times New Roman" w:hAnsi="Times New Roman"/>
        </w:rPr>
        <w:t>3.2 Anrechnungsklausel Schenkungen</w:t>
      </w:r>
    </w:p>
    <w:p>
      <w:pPr>
        <w:jc w:val="left"/>
      </w:pPr>
      <w:r>
        <w:t>Der Satz „sollen als Vorempfang auf den jeweiligen Erbteil angerechnet werden, soweit sie den Betrag von 50.000 Euro je Schenkung übersteigen" ist auslegungsbedürftig.</w:t>
      </w:r>
    </w:p>
    <w:p>
      <w:pPr>
        <w:jc w:val="left"/>
      </w:pPr>
      <w:r>
        <w:rPr>
          <w:b/>
        </w:rPr>
        <w:t>Variante A (wörtlich):</w:t>
      </w:r>
      <w:r>
        <w:t xml:space="preserve"> Jede Einzelschenkung über 50.000 EUR wird auf den Erbteil angerechnet. Constantin hat drei Tranchen (120 TEUR, 140 TEUR, 120 TEUR) erhalten, alle über 50 TEUR; somit 380 TEUR anrechenbar. Henrike hat 320 TEUR (ETW Konstanz) erhalten, über 50 TEUR, somit ebenfalls anrechenbar.</w:t>
      </w:r>
    </w:p>
    <w:p>
      <w:pPr>
        <w:jc w:val="left"/>
      </w:pPr>
      <w:r>
        <w:rPr>
          <w:b/>
        </w:rPr>
        <w:t>Variante B (kumulativ je Schenkungspaket):</w:t>
      </w:r>
      <w:r>
        <w:t xml:space="preserve"> Die Schwelle von 50 TEUR gilt nicht je Tranche, sondern insgesamt. Dann wäre der gesamte Überschuss einheitlich zu berechnen.</w:t>
      </w:r>
    </w:p>
    <w:p>
      <w:pPr>
        <w:jc w:val="left"/>
      </w:pPr>
      <w:r>
        <w:rPr>
          <w:b/>
        </w:rPr>
        <w:t>Bgd.:</w:t>
      </w:r>
      <w:r>
        <w:t xml:space="preserve"> Die Anrechnungsklausel im Testament verdrängt nicht die Pflichtteilsergänzungsvorschriften (Paragrafen 2325 ff. BGB), sie ergänzt diese nur im Innenverhältnis der Erben. Für die Pflichtteilsergänzung gelten die gesetzlichen Regeln (Zehn-Jahres-Frist, Abschmelzung).</w:t>
      </w:r>
    </w:p>
    <w:p>
      <w:pPr>
        <w:pStyle w:val="Heading3"/>
      </w:pPr>
      <w:r>
        <w:rPr>
          <w:rFonts w:ascii="Times New Roman" w:hAnsi="Times New Roman"/>
        </w:rPr>
        <w:t>3.3 „Digitales Vermögen" — Zuordnung Krypto</w:t>
      </w:r>
    </w:p>
    <w:p>
      <w:pPr>
        <w:jc w:val="left"/>
      </w:pPr>
      <w:r>
        <w:t>Die Klausel „mein digitales Vermögen…ist Teil meines Nachlasses" ist eindeutig: Edelmann hat den Krypto-Bestand ausdrücklich dem Nachlass zugeordnet. Das Argument Constantins, der Vater habe ihm die Krypto-Assets „übergeben", widerspricht dem Testamentswortlaut, wenn man nicht eine anderweitige Schenkung nachweisen kann.</w:t>
      </w:r>
    </w:p>
    <w:p>
      <w:pPr>
        <w:jc w:val="left"/>
      </w:pPr>
      <w:r>
        <w:t>Das „versiegelte Kuvert im Tresor" ist nach Aktenlage geöffnet worden — Constantin berichtet, man habe den Tresor nach dem Tod geöffnet; der Stick (Schlüssel Nr. 1) sei dort gewesen, aber kein gesondertes Kuvert mit Erläuterungen. Entweder wurde das Kuvert entfernt oder nie in den Tresor gelegt oder der Begriff ist missverständlich (der Stick selbst als Kuvert-Ersatz). Aufklärung erforderlich.</w:t>
      </w:r>
    </w:p>
    <w:p>
      <w:pPr>
        <w:pStyle w:val="Heading3"/>
      </w:pPr>
      <w:r>
        <w:rPr>
          <w:rFonts w:ascii="Times New Roman" w:hAnsi="Times New Roman"/>
        </w:rPr>
        <w:t>3.4 Testamentsvollstrecker RA Trotz — Tod</w:t>
      </w:r>
    </w:p>
    <w:p>
      <w:pPr>
        <w:jc w:val="left"/>
      </w:pPr>
      <w:r>
        <w:t>RA Dr. Friedrich Trotz ist im Oktober 2023 verstorben. Das Amt des Testamentsvollstreckers wird damit hinfällig (Paragraf 2225 BGB). Das Testament benennt keinen Ersatztestamentsvollstrecker. Ob das Nachlassgericht auf Antrag einen Ersatztestamentsvollstrecker bestellen kann, wird in Aktenstück 15 erörtert.</w:t>
      </w:r>
    </w:p>
    <w:p>
      <w:pPr>
        <w:pStyle w:val="Heading3"/>
      </w:pPr>
      <w:r>
        <w:rPr>
          <w:rFonts w:ascii="Times New Roman" w:hAnsi="Times New Roman"/>
        </w:rPr>
        <w:t>3.5 Notarvermerk Welz und Testamentstolkung</w:t>
      </w:r>
    </w:p>
    <w:p>
      <w:pPr>
        <w:jc w:val="left"/>
      </w:pPr>
      <w:r>
        <w:t>Der Notarvermerk vom 14.06.2023 (→ Aktenstück 04) enthält keine eigenständige letztwillige Verfügung; er ist für die Testamentsauslegung allenfalls als Auslegungshilfe iSd Paragrafen 133, 2084 BGB heranzuziehen, wenn Edelmanns Wille unklar ist. Die Äußerung gegenüber Welz, das Testament solle „im Lichte der Schenkungen an Constantin reduziert werden", deutet auf einen Willen zur Änderung hin, der aber mangels gültigem Testament ohne Rechtswirkung blieb.</w:t>
      </w:r>
    </w:p>
    <w:p/>
    <w:p>
      <w:pPr>
        <w:pStyle w:val="Heading2"/>
      </w:pPr>
      <w:r>
        <w:rPr>
          <w:rFonts w:ascii="Times New Roman" w:hAnsi="Times New Roman"/>
        </w:rPr>
        <w:t>4. Ergebnis der Testamentsprüfung</w:t>
      </w:r>
    </w:p>
    <w:p>
      <w:pPr>
        <w:jc w:val="left"/>
      </w:pPr>
      <w:r>
        <w:t>Das Testament vom 09.11.2019 ist formell wirksam. Es setzt vier Erben zu je 1/4 ein. Das Vorausvermächtnis zugunsten Marlies (Wohnrecht) ist wirksam und nicht auf deren Erbanteil anzurechnen. Der Krypto-Bestand ist ausdrücklich Nachlass. Die Anrechnungsklausel ist auslegungsbedürftig. Testamentsvollstrecker ist weggefallen. Kein neueres Testament bekannt.</w:t>
      </w:r>
    </w:p>
    <w:p>
      <w:pPr>
        <w:jc w:val="left"/>
      </w:pPr>
      <w:r>
        <w:rPr>
          <w:b/>
        </w:rPr>
        <w:t>Risiko:</w:t>
      </w:r>
      <w:r>
        <w:t xml:space="preserve"> Sollte Marlies ein aktuelleres handschriftliches Testament vorlegen, wäre das Testament 2019 aufgehoben (Schlussklausel greift wechselseitig). Henrike bestreitet die Existenz eines solchen Dokuments. Nachlassgericht hat bisher kein weiteres Testament eröffnet.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1. Volltext des Testaments (Fotografie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1. Volltext des Testaments (Fotografie</w:t>
    </w:r>
  </w:p>
  <w:p>
    <w:pPr>
      <w:jc w:val="left"/>
      <w:pBdr>
        <w:bottom w:val="single" w:sz="6" w:space="2" w:color="3B3F45"/>
      </w:pBdr>
    </w:pPr>
    <w:r>
      <w:rPr>
        <w:rFonts w:ascii="Times New Roman" w:hAnsi="Times New Roman"/>
        <w:color w:val="6B6B66"/>
        <w:sz w:val="16"/>
      </w:rPr>
      <w:t>authentifiziert durch Nachlassgericht) · Az.: KlKette 025/0422-ERB-EDE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