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08 — BMWK Investitionsprüfung: TianYuan Industrial Group / § 55 AWV</w:t>
      </w:r>
    </w:p>
    <w:p>
      <w:pPr>
        <w:jc w:val="left"/>
      </w:pPr>
      <w:r>
        <w:rPr>
          <w:b/>
        </w:rPr>
        <w:t>Aktenzeichen:</w:t>
      </w:r>
      <w:r>
        <w:t xml:space="preserve"> BMWK 13-IPR-66/2026</w:t>
      </w:r>
    </w:p>
    <w:p>
      <w:pPr>
        <w:jc w:val="left"/>
      </w:pPr>
      <w:r>
        <w:rPr>
          <w:b/>
        </w:rPr>
        <w:t>Behörde:</w:t>
      </w:r>
      <w:r>
        <w:t xml:space="preserve"> Bundesministerium für Wirtschaft und Klimaschutz (BMWK), Referat IB4 (Investitionsprüfung), Scharnhorststraße 34–37, 10115 Berlin</w:t>
      </w:r>
    </w:p>
    <w:p>
      <w:pPr>
        <w:jc w:val="left"/>
      </w:pPr>
      <w:r>
        <w:rPr>
          <w:b/>
        </w:rPr>
        <w:t>Erstellt:</w:t>
      </w:r>
      <w:r>
        <w:t xml:space="preserve"> 09. April 2026</w:t>
      </w:r>
    </w:p>
    <w:p>
      <w:pPr>
        <w:jc w:val="left"/>
      </w:pPr>
      <w:r>
        <w:rPr>
          <w:b/>
        </w:rPr>
        <w:t>Bearbeitung:</w:t>
      </w:r>
      <w:r>
        <w:t xml:space="preserve"> RAin Dr. Carola Boekenkamp, Ass. Klaus Wiethölter (beide Kanzlei Salzgitter, Boekenkamp &amp; Trautmannsdorf)</w:t>
      </w:r>
    </w:p>
    <w:p/>
    <w:p>
      <w:pPr>
        <w:pStyle w:val="Heading2"/>
      </w:pPr>
      <w:r>
        <w:rPr>
          <w:rFonts w:ascii="Times New Roman" w:hAnsi="Times New Roman"/>
        </w:rPr>
        <w:t>1. Transaktionsstruktur</w:t>
      </w:r>
    </w:p>
    <w:p>
      <w:pPr>
        <w:pStyle w:val="Heading3"/>
      </w:pPr>
      <w:r>
        <w:rPr>
          <w:rFonts w:ascii="Times New Roman" w:hAnsi="Times New Roman"/>
        </w:rPr>
        <w:t>1.1 Erwerberin: TianYuan Industrial Group Co., Ltd.</w:t>
      </w:r>
    </w:p>
    <w:p>
      <w:pPr>
        <w:jc w:val="left"/>
      </w:pPr>
      <w:r>
        <w:t>TianYuan Industrial Group Co., Ltd. (天远工业集团有限公司) ist ein an der Shenzhen Stock Exchange (SZSE, Ticker: 002741) börsennotiertes Industriekonglomerat mit Sitz in Suzhou, Jiangsu, China. Gegründet 1994, Marktkapitalisierung: ca. 2,8 Milliarden USD (Stand: Januar 2026). Kerngeschäfte: Präzisionsmaschinenbau, pharmazeutische Ausrüstung, Prozesstechnologie. Staatsbeteiligung: Die chinesische Staatsholding SASAC (State-owned Assets Supervision and Administration Commission) hält über Intermediärstrukturen indirekt ca. 22 % der TianYuan-Aktien — exakte Kontrollkette ist zu ermitteln.</w:t>
      </w:r>
    </w:p>
    <w:p>
      <w:pPr>
        <w:jc w:val="left"/>
      </w:pPr>
      <w:r>
        <w:t>TianYuan hat am 20. Dezember 2025 ein verbindliches Kaufangebot (Binding Offer) an die Werkmann-Altgesellschafter (Dr. Werkmann-Lottermann: 64 %, Familie Sollinger-Baum-Trust: 36 %) für den Erwerb von insgesamt 28 % der Anteile (über eine neu zu schaffende HoldCo-Struktur) zu einem Kaufpreis von 52,4 Millionen EUR unterbreitet. Die transaktion impliziert eine Unternehmensbewertung von ca. 187 Millionen EUR (1,0× Umsatz).</w:t>
      </w:r>
    </w:p>
    <w:p>
      <w:pPr>
        <w:pStyle w:val="Heading3"/>
      </w:pPr>
      <w:r>
        <w:rPr>
          <w:rFonts w:ascii="Times New Roman" w:hAnsi="Times New Roman"/>
        </w:rPr>
        <w:t>1.2 Meldung beim BMWK</w:t>
      </w:r>
    </w:p>
    <w:p>
      <w:pPr>
        <w:jc w:val="left"/>
      </w:pPr>
      <w:r>
        <w:t>Das BMWK hat mit Schreiben vom 22. Januar 2026 (Az. 13-IPR-66/2026) mitgeteilt, dass es ein sektorspezifisches Investitionsprüfverfahren nach § 55 Abs. 1 AWV einleitet, da der Erwerber ein Investor aus einem Drittstaat (China) ist und die Zielgesellschaft in einem sicherheitsrelevanten Sektor tätig ist (§ 55 Abs. 1 S. 2 AWV: Hersteller von Gütern, die der Exportkontrolle unterliegen).</w:t>
      </w:r>
    </w:p>
    <w:p>
      <w:pPr>
        <w:jc w:val="left"/>
      </w:pPr>
      <w:r>
        <w:t>Zusätzlich kann das BMWK ein Prüfverfahren nach § 56 AWV (horizontale Prüfung) für Sektoren einleiten, die in der Anlage zu § 55a AWV aufgeführt sind. Pharmazeutische Produktionstechnologie ist in Abschnitt 27 der Anlage AWV-Anlage (i.d.F. der Fünften Änderungsverordnung zur AWV vom 22.12.2023) als prüfrelevanter Sektor ausgewiesen.</w:t>
      </w:r>
    </w:p>
    <w:p/>
    <w:p>
      <w:pPr>
        <w:pStyle w:val="Heading2"/>
      </w:pPr>
      <w:r>
        <w:rPr>
          <w:rFonts w:ascii="Times New Roman" w:hAnsi="Times New Roman"/>
        </w:rPr>
        <w:t>2. Rechtsrahmen § 55 AWV</w:t>
      </w:r>
    </w:p>
    <w:p>
      <w:pPr>
        <w:pStyle w:val="Heading3"/>
      </w:pPr>
      <w:r>
        <w:rPr>
          <w:rFonts w:ascii="Times New Roman" w:hAnsi="Times New Roman"/>
        </w:rPr>
        <w:t>2.1 Tatbestand und Prüfmaßstab</w:t>
      </w:r>
    </w:p>
    <w:p>
      <w:pPr>
        <w:jc w:val="left"/>
      </w:pPr>
      <w:r>
        <w:t>§ 55 AWV (Außenwirtschaftsverordnung, i.d.F. BGBl. I 2023, S. 393) regelt das sektorspezifische Prüfverfahren. § 55 Abs. 1 AWV:</w:t>
      </w:r>
    </w:p>
    <w:p>
      <w:pPr>
        <w:ind w:left="567"/>
      </w:pPr>
      <w:r>
        <w:rPr>
          <w:i/>
        </w:rPr>
        <w:t>„Das Bundesministerium für Wirtschaft und Klimaschutz prüft auf Antrag des Erwerbers oder von Amts wegen, ob der Erwerb von Anteilen an einem inländischen Unternehmen durch einen Unionsfremden die öffentliche Ordnung oder Sicherheit der Bundesrepublik Deutschland oder eines anderen Mitgliedstaates der Europäischen Union gefährdet."</w:t>
      </w:r>
    </w:p>
    <w:p>
      <w:pPr>
        <w:jc w:val="left"/>
      </w:pPr>
      <w:r>
        <w:t>Prüfmaßstab: „tatsächliche und hinreichend schwere Gefährdung" (Art. 52 AEUV-Analogie; EuGH-Rechtsprechung zu Art. 46 a.F. EGV). Das Bundesverfassungsgericht hat in seinem Beschluss vom 17. Juli 2019 (1 BvR 1469/15) klargestellt, dass die Eigentumsgarantie des Art. 14 GG dem Erwerb von Unternehmensanteilen durch Drittstaatinvestoren nicht entgegensteht, sofern ein gesetzlicher Rahmen besteht.</w:t>
      </w:r>
    </w:p>
    <w:p>
      <w:pPr>
        <w:pStyle w:val="Heading3"/>
      </w:pPr>
      <w:r>
        <w:rPr>
          <w:rFonts w:ascii="Times New Roman" w:hAnsi="Times New Roman"/>
        </w:rPr>
        <w:t>2.2 Untersagungsgründe</w:t>
      </w:r>
    </w:p>
    <w:p>
      <w:pPr>
        <w:jc w:val="left"/>
      </w:pPr>
      <w:r>
        <w:t>Das BMWK kann den Erwerb untersagen (§ 59 AWV) oder anordnen, dass der Erwerb von Auflagen abhängt. Untersagungsgründe für sicherheitsrelevante Sektoren nach § 55 AWV:</w:t>
      </w:r>
    </w:p>
    <w:p>
      <w:pPr>
        <w:pStyle w:val="ListNumber"/>
      </w:pPr>
      <w:r>
        <w:t>Gefährdung der Versorgungssicherheit (kritische Infrastruktur)</w:t>
      </w:r>
    </w:p>
    <w:p>
      <w:pPr>
        <w:pStyle w:val="ListNumber"/>
      </w:pPr>
      <w:r>
        <w:t>Gefährdung der öffentlichen Ordnung durch Technologietransfer</w:t>
      </w:r>
    </w:p>
    <w:p>
      <w:pPr>
        <w:pStyle w:val="ListNumber"/>
      </w:pPr>
      <w:r>
        <w:t>Zusammenhang mit Rüstungsexporten oder Dual-Use-Gütern</w:t>
      </w:r>
    </w:p>
    <w:p>
      <w:pPr>
        <w:pStyle w:val="ListNumber"/>
      </w:pPr>
      <w:r>
        <w:t>Staatlich kontrollierter Investor (Staatsunternehmen, SASAC-Struktur)</w:t>
      </w:r>
    </w:p>
    <w:p>
      <w:pPr>
        <w:jc w:val="left"/>
      </w:pPr>
      <w:r>
        <w:t>Vorliegend besonders relevant: Der MFR-3400X-Komplex (laufendes BAFA OWi-Verfahren) und die Dual-Use-Dimension der Werkmann-Technologie werden das BMWK zwingend in seine Sicherheitsbewertung einbeziehen.</w:t>
      </w:r>
    </w:p>
    <w:p/>
    <w:p>
      <w:pPr>
        <w:pStyle w:val="Heading2"/>
      </w:pPr>
      <w:r>
        <w:rPr>
          <w:rFonts w:ascii="Times New Roman" w:hAnsi="Times New Roman"/>
        </w:rPr>
        <w:t>3. Kooperation Werkmann / TianYuan im Prüfverfahren</w:t>
      </w:r>
    </w:p>
    <w:p>
      <w:pPr>
        <w:jc w:val="left"/>
      </w:pPr>
      <w:r>
        <w:t>Das BMWK erwartet von Erwerber und Zielgesellschaft eine vollständige Offenlegung der Transaktionsstruktur (§ 57 AWV: Auskunftspflichten). Die Kanzlei koordiniert die Zulieferung folgender Unterlagen bis 15. Mai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Unterlage</w:t>
            </w:r>
          </w:p>
        </w:tc>
        <w:tc>
          <w:tcPr>
            <w:tcW w:type="dxa" w:w="3024"/>
          </w:tcPr>
          <w:p>
            <w:r>
              <w:rPr>
                <w:rFonts w:ascii="Times New Roman" w:hAnsi="Times New Roman"/>
                <w:b/>
                <w:sz w:val="20"/>
              </w:rPr>
              <w:t>Zuständig</w:t>
            </w:r>
          </w:p>
        </w:tc>
        <w:tc>
          <w:tcPr>
            <w:tcW w:type="dxa" w:w="3024"/>
          </w:tcPr>
          <w:p>
            <w:r>
              <w:rPr>
                <w:rFonts w:ascii="Times New Roman" w:hAnsi="Times New Roman"/>
                <w:b/>
                <w:sz w:val="20"/>
              </w:rPr>
              <w:t>Frist</w:t>
            </w:r>
          </w:p>
        </w:tc>
      </w:tr>
      <w:tr>
        <w:tc>
          <w:tcPr>
            <w:tcW w:type="dxa" w:w="3024"/>
          </w:tcPr>
          <w:p>
            <w:r>
              <w:rPr>
                <w:rFonts w:ascii="Times New Roman" w:hAnsi="Times New Roman"/>
                <w:sz w:val="20"/>
              </w:rPr>
              <w:t>Gesellschaftsstruktur TianYuan inkl. SASAC-Beteiligung</w:t>
            </w:r>
          </w:p>
        </w:tc>
        <w:tc>
          <w:tcPr>
            <w:tcW w:type="dxa" w:w="3024"/>
          </w:tcPr>
          <w:p>
            <w:r>
              <w:rPr>
                <w:rFonts w:ascii="Times New Roman" w:hAnsi="Times New Roman"/>
                <w:sz w:val="20"/>
              </w:rPr>
              <w:t>TianYuan-Rechtsabteilung / Pottwitz Stinkmorchel Beijing</w:t>
            </w:r>
          </w:p>
        </w:tc>
        <w:tc>
          <w:tcPr>
            <w:tcW w:type="dxa" w:w="3024"/>
          </w:tcPr>
          <w:p>
            <w:r>
              <w:rPr>
                <w:rFonts w:ascii="Times New Roman" w:hAnsi="Times New Roman"/>
                <w:sz w:val="20"/>
              </w:rPr>
              <w:t>01. Mai 2026</w:t>
            </w:r>
          </w:p>
        </w:tc>
      </w:tr>
      <w:tr>
        <w:tc>
          <w:tcPr>
            <w:tcW w:type="dxa" w:w="3024"/>
          </w:tcPr>
          <w:p>
            <w:r>
              <w:rPr>
                <w:rFonts w:ascii="Times New Roman" w:hAnsi="Times New Roman"/>
                <w:sz w:val="20"/>
              </w:rPr>
              <w:t>Technologiebeschreibung Werkmann (Produkte, Patente, IP)</w:t>
            </w:r>
          </w:p>
        </w:tc>
        <w:tc>
          <w:tcPr>
            <w:tcW w:type="dxa" w:w="3024"/>
          </w:tcPr>
          <w:p>
            <w:r>
              <w:rPr>
                <w:rFonts w:ascii="Times New Roman" w:hAnsi="Times New Roman"/>
                <w:sz w:val="20"/>
              </w:rPr>
              <w:t>Werkmann CTO Sollinger-Baum</w:t>
            </w:r>
          </w:p>
        </w:tc>
        <w:tc>
          <w:tcPr>
            <w:tcW w:type="dxa" w:w="3024"/>
          </w:tcPr>
          <w:p>
            <w:r>
              <w:rPr>
                <w:rFonts w:ascii="Times New Roman" w:hAnsi="Times New Roman"/>
                <w:sz w:val="20"/>
              </w:rPr>
              <w:t>05. Mai 2026</w:t>
            </w:r>
          </w:p>
        </w:tc>
      </w:tr>
      <w:tr>
        <w:tc>
          <w:tcPr>
            <w:tcW w:type="dxa" w:w="3024"/>
          </w:tcPr>
          <w:p>
            <w:r>
              <w:rPr>
                <w:rFonts w:ascii="Times New Roman" w:hAnsi="Times New Roman"/>
                <w:sz w:val="20"/>
              </w:rPr>
              <w:t>Businessplan post-Akquisition</w:t>
            </w:r>
          </w:p>
        </w:tc>
        <w:tc>
          <w:tcPr>
            <w:tcW w:type="dxa" w:w="3024"/>
          </w:tcPr>
          <w:p>
            <w:r>
              <w:rPr>
                <w:rFonts w:ascii="Times New Roman" w:hAnsi="Times New Roman"/>
                <w:sz w:val="20"/>
              </w:rPr>
              <w:t>TianYuan Strategy</w:t>
            </w:r>
          </w:p>
        </w:tc>
        <w:tc>
          <w:tcPr>
            <w:tcW w:type="dxa" w:w="3024"/>
          </w:tcPr>
          <w:p>
            <w:r>
              <w:rPr>
                <w:rFonts w:ascii="Times New Roman" w:hAnsi="Times New Roman"/>
                <w:sz w:val="20"/>
              </w:rPr>
              <w:t>10. Mai 2026</w:t>
            </w:r>
          </w:p>
        </w:tc>
      </w:tr>
      <w:tr>
        <w:tc>
          <w:tcPr>
            <w:tcW w:type="dxa" w:w="3024"/>
          </w:tcPr>
          <w:p>
            <w:r>
              <w:rPr>
                <w:rFonts w:ascii="Times New Roman" w:hAnsi="Times New Roman"/>
                <w:sz w:val="20"/>
              </w:rPr>
              <w:t>Offenlegung BAFA OWi-Verfahren</w:t>
            </w:r>
          </w:p>
        </w:tc>
        <w:tc>
          <w:tcPr>
            <w:tcW w:type="dxa" w:w="3024"/>
          </w:tcPr>
          <w:p>
            <w:r>
              <w:rPr>
                <w:rFonts w:ascii="Times New Roman" w:hAnsi="Times New Roman"/>
                <w:sz w:val="20"/>
              </w:rPr>
              <w:t>Dr. Boekenkamp</w:t>
            </w:r>
          </w:p>
        </w:tc>
        <w:tc>
          <w:tcPr>
            <w:tcW w:type="dxa" w:w="3024"/>
          </w:tcPr>
          <w:p>
            <w:r>
              <w:rPr>
                <w:rFonts w:ascii="Times New Roman" w:hAnsi="Times New Roman"/>
                <w:sz w:val="20"/>
              </w:rPr>
              <w:t>15. Mai 2026</w:t>
            </w:r>
          </w:p>
        </w:tc>
      </w:tr>
      <w:tr>
        <w:tc>
          <w:tcPr>
            <w:tcW w:type="dxa" w:w="3024"/>
          </w:tcPr>
          <w:p>
            <w:r>
              <w:rPr>
                <w:rFonts w:ascii="Times New Roman" w:hAnsi="Times New Roman"/>
                <w:sz w:val="20"/>
              </w:rPr>
              <w:t>Erklärung keine weiteren Regulierungsrisiken</w:t>
            </w:r>
          </w:p>
        </w:tc>
        <w:tc>
          <w:tcPr>
            <w:tcW w:type="dxa" w:w="3024"/>
          </w:tcPr>
          <w:p>
            <w:r>
              <w:rPr>
                <w:rFonts w:ascii="Times New Roman" w:hAnsi="Times New Roman"/>
                <w:sz w:val="20"/>
              </w:rPr>
              <w:t>Kanzlei Salzgitter</w:t>
            </w:r>
          </w:p>
        </w:tc>
        <w:tc>
          <w:tcPr>
            <w:tcW w:type="dxa" w:w="3024"/>
          </w:tcPr>
          <w:p>
            <w:r>
              <w:rPr>
                <w:rFonts w:ascii="Times New Roman" w:hAnsi="Times New Roman"/>
                <w:sz w:val="20"/>
              </w:rPr>
              <w:t>15. Mai 2026</w:t>
            </w:r>
          </w:p>
        </w:tc>
      </w:tr>
    </w:tbl>
    <w:p>
      <w:pPr>
        <w:pStyle w:val="Heading3"/>
      </w:pPr>
      <w:r>
        <w:rPr>
          <w:rFonts w:ascii="Times New Roman" w:hAnsi="Times New Roman"/>
        </w:rPr>
        <w:t>3.1 Strategische Überlegung: Offenbarung des BAFA-Verfahrens</w:t>
      </w:r>
    </w:p>
    <w:p>
      <w:pPr>
        <w:jc w:val="left"/>
      </w:pPr>
      <w:r>
        <w:t>Das laufende BAFA OWi-Verfahren ist dem BMWK im Rahmen der Investitionsprüfung zwingend offenzulegen. Eine Nicht-Offenbarung würde den Verdacht arglistiger Täuschung begründen (§ 123 BGB analog) und könnte zu einer nachträglichen Aufhebung einer etwaigen BMWK-Freigabe führen. Zudem besteht das Risiko, dass das BMWK ohnehin durch behördliche Koordination (§ 58 Abs. 5 AWV: ressortübergreifende Abstimmung mit BMI, BMVg, BfV) von dem BAFA-Verfahren erfährt.</w:t>
      </w:r>
    </w:p>
    <w:p/>
    <w:p>
      <w:pPr>
        <w:pStyle w:val="Heading2"/>
      </w:pPr>
      <w:r>
        <w:rPr>
          <w:rFonts w:ascii="Times New Roman" w:hAnsi="Times New Roman"/>
        </w:rPr>
        <w:t>4. Alternativszenarien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Szenario</w:t>
            </w:r>
          </w:p>
        </w:tc>
        <w:tc>
          <w:tcPr>
            <w:tcW w:type="dxa" w:w="3024"/>
          </w:tcPr>
          <w:p>
            <w:r>
              <w:rPr>
                <w:rFonts w:ascii="Times New Roman" w:hAnsi="Times New Roman"/>
                <w:b/>
                <w:sz w:val="20"/>
              </w:rPr>
              <w:t>Bewertung</w:t>
            </w:r>
          </w:p>
        </w:tc>
        <w:tc>
          <w:tcPr>
            <w:tcW w:type="dxa" w:w="3024"/>
          </w:tcPr>
          <w:p>
            <w:r>
              <w:rPr>
                <w:rFonts w:ascii="Times New Roman" w:hAnsi="Times New Roman"/>
                <w:b/>
                <w:sz w:val="20"/>
              </w:rPr>
              <w:t>Wahrscheinlichkeit</w:t>
            </w:r>
          </w:p>
        </w:tc>
      </w:tr>
      <w:tr>
        <w:tc>
          <w:tcPr>
            <w:tcW w:type="dxa" w:w="3024"/>
          </w:tcPr>
          <w:p>
            <w:r>
              <w:rPr>
                <w:rFonts w:ascii="Times New Roman" w:hAnsi="Times New Roman"/>
                <w:sz w:val="20"/>
              </w:rPr>
              <w:t>BMWK erteilt Freigabe ohne Auflagen</w:t>
            </w:r>
          </w:p>
        </w:tc>
        <w:tc>
          <w:tcPr>
            <w:tcW w:type="dxa" w:w="3024"/>
          </w:tcPr>
          <w:p>
            <w:r>
              <w:rPr>
                <w:rFonts w:ascii="Times New Roman" w:hAnsi="Times New Roman"/>
                <w:sz w:val="20"/>
              </w:rPr>
              <w:t>Günstigstes Szenario; bei günstiger Sicherheitsbewertung möglich</w:t>
            </w:r>
          </w:p>
        </w:tc>
        <w:tc>
          <w:tcPr>
            <w:tcW w:type="dxa" w:w="3024"/>
          </w:tcPr>
          <w:p>
            <w:r>
              <w:rPr>
                <w:rFonts w:ascii="Times New Roman" w:hAnsi="Times New Roman"/>
                <w:sz w:val="20"/>
              </w:rPr>
              <w:t>20 %</w:t>
            </w:r>
          </w:p>
        </w:tc>
      </w:tr>
      <w:tr>
        <w:tc>
          <w:tcPr>
            <w:tcW w:type="dxa" w:w="3024"/>
          </w:tcPr>
          <w:p>
            <w:r>
              <w:rPr>
                <w:rFonts w:ascii="Times New Roman" w:hAnsi="Times New Roman"/>
                <w:sz w:val="20"/>
              </w:rPr>
              <w:t>BMWK erteilt Freigabe mit Auflagen (z.B. Technologie-Schutz, Board-Sitz für deutschen Vertreter)</w:t>
            </w:r>
          </w:p>
        </w:tc>
        <w:tc>
          <w:tcPr>
            <w:tcW w:type="dxa" w:w="3024"/>
          </w:tcPr>
          <w:p>
            <w:r>
              <w:rPr>
                <w:rFonts w:ascii="Times New Roman" w:hAnsi="Times New Roman"/>
                <w:sz w:val="20"/>
              </w:rPr>
              <w:t>Wahrscheinlichstes Szenario</w:t>
            </w:r>
          </w:p>
        </w:tc>
        <w:tc>
          <w:tcPr>
            <w:tcW w:type="dxa" w:w="3024"/>
          </w:tcPr>
          <w:p>
            <w:r>
              <w:rPr>
                <w:rFonts w:ascii="Times New Roman" w:hAnsi="Times New Roman"/>
                <w:sz w:val="20"/>
              </w:rPr>
              <w:t>45 %</w:t>
            </w:r>
          </w:p>
        </w:tc>
      </w:tr>
      <w:tr>
        <w:tc>
          <w:tcPr>
            <w:tcW w:type="dxa" w:w="3024"/>
          </w:tcPr>
          <w:p>
            <w:r>
              <w:rPr>
                <w:rFonts w:ascii="Times New Roman" w:hAnsi="Times New Roman"/>
                <w:sz w:val="20"/>
              </w:rPr>
              <w:t>BMWK ordnet Prüfung durch Bundessicherheitsrat an</w:t>
            </w:r>
          </w:p>
        </w:tc>
        <w:tc>
          <w:tcPr>
            <w:tcW w:type="dxa" w:w="3024"/>
          </w:tcPr>
          <w:p>
            <w:r>
              <w:rPr>
                <w:rFonts w:ascii="Times New Roman" w:hAnsi="Times New Roman"/>
                <w:sz w:val="20"/>
              </w:rPr>
              <w:t>Bei negativer Erstbewertung möglich</w:t>
            </w:r>
          </w:p>
        </w:tc>
        <w:tc>
          <w:tcPr>
            <w:tcW w:type="dxa" w:w="3024"/>
          </w:tcPr>
          <w:p>
            <w:r>
              <w:rPr>
                <w:rFonts w:ascii="Times New Roman" w:hAnsi="Times New Roman"/>
                <w:sz w:val="20"/>
              </w:rPr>
              <w:t>20 %</w:t>
            </w:r>
          </w:p>
        </w:tc>
      </w:tr>
      <w:tr>
        <w:tc>
          <w:tcPr>
            <w:tcW w:type="dxa" w:w="3024"/>
          </w:tcPr>
          <w:p>
            <w:r>
              <w:rPr>
                <w:rFonts w:ascii="Times New Roman" w:hAnsi="Times New Roman"/>
                <w:sz w:val="20"/>
              </w:rPr>
              <w:t>BMWK untersagt Transaktion</w:t>
            </w:r>
          </w:p>
        </w:tc>
        <w:tc>
          <w:tcPr>
            <w:tcW w:type="dxa" w:w="3024"/>
          </w:tcPr>
          <w:p>
            <w:r>
              <w:rPr>
                <w:rFonts w:ascii="Times New Roman" w:hAnsi="Times New Roman"/>
                <w:sz w:val="20"/>
              </w:rPr>
              <w:t>Bei Eskalation durch BAFA-Verfahren oder SASAC-Befund</w:t>
            </w:r>
          </w:p>
        </w:tc>
        <w:tc>
          <w:tcPr>
            <w:tcW w:type="dxa" w:w="3024"/>
          </w:tcPr>
          <w:p>
            <w:r>
              <w:rPr>
                <w:rFonts w:ascii="Times New Roman" w:hAnsi="Times New Roman"/>
                <w:sz w:val="20"/>
              </w:rPr>
              <w:t>15 %</w:t>
            </w:r>
          </w:p>
        </w:tc>
      </w:tr>
    </w:tbl>
    <w:p/>
    <w:p>
      <w:pPr>
        <w:pStyle w:val="Heading2"/>
      </w:pPr>
      <w:r>
        <w:rPr>
          <w:rFonts w:ascii="Times New Roman" w:hAnsi="Times New Roman"/>
        </w:rPr>
        <w:t>5. Auswirkungen auf Werkmann-Gruppe</w:t>
      </w:r>
    </w:p>
    <w:p>
      <w:pPr>
        <w:jc w:val="left"/>
      </w:pPr>
      <w:r>
        <w:t>Eine Untersagung der TianYuan-Transaktion würde die geplante Kapitalerhöhung (52,4 Millionen EUR) verhindern und die Refinanzierung des Investitionsplans 2026–2028 (Erweiterung Worms-Werk, 35 Millionen EUR) erheblich erschweren. Alternativfinanzierungsoptionen (Schuldscheindarlehen, Private Equity) sind mit Hausbank Deutsche Bank AG zu besprechen (Termin: 22. April 2026).</w:t>
      </w:r>
    </w:p>
    <w:p/>
    <w:p>
      <w:pPr>
        <w:jc w:val="left"/>
      </w:pPr>
      <w:r>
        <w:rPr>
          <w:i/>
        </w:rPr>
        <w:t>Bearbeitung: Dr. Boekenkamp / Ass. Wiethölter — Stand: 12. April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Bundesministerium für Wirtschaft und Klimaschutz (BMWK)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Bundesministerium für Wirtschaft und Klimaschutz (BMWK)</w:t>
    </w:r>
  </w:p>
  <w:p>
    <w:pPr>
      <w:jc w:val="left"/>
      <w:pBdr>
        <w:bottom w:val="single" w:sz="6" w:space="2" w:color="3B3F45"/>
      </w:pBdr>
    </w:pPr>
    <w:r>
      <w:rPr>
        <w:rFonts w:ascii="Times New Roman" w:hAnsi="Times New Roman"/>
        <w:color w:val="6B6B66"/>
        <w:sz w:val="16"/>
      </w:rPr>
      <w:t>Referat IB4 (Investitionsprüfung), Scharnhorststraße 34–37, 10115 Berlin · Aktenzeichen: BMWK 13-IPR-66/2026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