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ICC-Schiedsverfahren Paris: Werkmann ./. BioMechanix Pvt. Ltd.</w:t>
      </w:r>
    </w:p>
    <w:p>
      <w:pPr>
        <w:jc w:val="left"/>
      </w:pPr>
      <w:r>
        <w:rPr>
          <w:b/>
        </w:rPr>
        <w:t>Aktenzeichen:</w:t>
      </w:r>
      <w:r>
        <w:t xml:space="preserve"> ICC Paris 28-441/SCH/MS</w:t>
      </w:r>
    </w:p>
    <w:p>
      <w:pPr>
        <w:jc w:val="left"/>
      </w:pPr>
      <w:r>
        <w:rPr>
          <w:b/>
        </w:rPr>
        <w:t>Schiedsgericht:</w:t>
      </w:r>
      <w:r>
        <w:t xml:space="preserve"> ICC International Court of Arbitration, 33–43 avenue du Président Wilson, 75116 Paris</w:t>
      </w:r>
    </w:p>
    <w:p>
      <w:pPr>
        <w:jc w:val="left"/>
      </w:pPr>
      <w:r>
        <w:rPr>
          <w:b/>
        </w:rPr>
        <w:t>Kläger:</w:t>
      </w:r>
      <w:r>
        <w:t xml:space="preserve"> Werkmann Anlagentechnik AG, Mannheim</w:t>
      </w:r>
    </w:p>
    <w:p>
      <w:pPr>
        <w:jc w:val="left"/>
      </w:pPr>
      <w:r>
        <w:rPr>
          <w:b/>
        </w:rPr>
        <w:t>Beklagte:</w:t>
      </w:r>
      <w:r>
        <w:t xml:space="preserve"> BioMechanix Pvt. Ltd., Sai Chambers, Plot No. 117, Baner Road, Pune 411045, Maharashtra, Indien</w:t>
      </w:r>
    </w:p>
    <w:p>
      <w:pPr>
        <w:jc w:val="left"/>
      </w:pPr>
      <w:r>
        <w:rPr>
          <w:b/>
        </w:rPr>
        <w:t>Streitgegenstand:</w:t>
      </w:r>
      <w:r>
        <w:t xml:space="preserve"> Zahlung ausstehender Rechnungen (Milestone 4) i.H.v. 4.800.000 EUR</w:t>
      </w:r>
    </w:p>
    <w:p>
      <w:pPr>
        <w:jc w:val="left"/>
      </w:pPr>
      <w:r>
        <w:rPr>
          <w:b/>
        </w:rPr>
        <w:t>Anzuwendendes Recht:</w:t>
      </w:r>
      <w:r>
        <w:t xml:space="preserve"> Deutsches materielles Recht (BGB, HGB); Schiedsverfahrensrecht: ICC Arbitration Rules 2021</w:t>
      </w:r>
    </w:p>
    <w:p>
      <w:pPr>
        <w:jc w:val="left"/>
      </w:pPr>
      <w:r>
        <w:rPr>
          <w:b/>
        </w:rPr>
        <w:t>Schiedsort:</w:t>
      </w:r>
      <w:r>
        <w:t xml:space="preserve"> Paris (Frankreich)</w:t>
      </w:r>
    </w:p>
    <w:p>
      <w:pPr>
        <w:jc w:val="left"/>
      </w:pPr>
      <w:r>
        <w:rPr>
          <w:b/>
        </w:rPr>
        <w:t>Sprache:</w:t>
      </w:r>
      <w:r>
        <w:t xml:space="preserve"> Englisch</w:t>
      </w:r>
    </w:p>
    <w:p/>
    <w:p>
      <w:pPr>
        <w:pStyle w:val="Heading2"/>
      </w:pPr>
      <w:r>
        <w:rPr>
          <w:rFonts w:ascii="Times New Roman" w:hAnsi="Times New Roman"/>
        </w:rPr>
        <w:t>1. Sachverhalt und Vertragshintergrund</w:t>
      </w:r>
    </w:p>
    <w:p>
      <w:pPr>
        <w:pStyle w:val="Heading3"/>
      </w:pPr>
      <w:r>
        <w:rPr>
          <w:rFonts w:ascii="Times New Roman" w:hAnsi="Times New Roman"/>
        </w:rPr>
        <w:t>1.1 Liefervertrag 2021</w:t>
      </w:r>
    </w:p>
    <w:p>
      <w:pPr>
        <w:jc w:val="left"/>
      </w:pPr>
      <w:r>
        <w:t>Die Werkmann Anlagentechnik AG (Verkäuferin) und BioMechanix Pvt. Ltd. (Käuferin) schlossen am 15. September 2021 einen Anlagenkaufvertrag (Contract No. WAT-IN-2021-001) über die Lieferung, Montage und Inbetriebnahme von fünf Präzisions-Mahlanlagen des Typs PMA-7000-Pharma zum Gesamtpreis von 12.750.000 EUR. Amendment No. 2 (07. April 2023) passte den Lieferzeitplan an und ergänzte Gewährleistungsklauseln.</w:t>
      </w:r>
    </w:p>
    <w:p>
      <w:pPr>
        <w:jc w:val="left"/>
      </w:pPr>
      <w:r>
        <w:t>Zahlungsmeilensteine laut Vertrag (Amendment No. 2):</w:t>
      </w:r>
    </w:p>
    <w:p>
      <w:pPr>
        <w:pStyle w:val="ListBullet"/>
      </w:pPr>
      <w:r>
        <w:t>Milestone 1 (Anzahlung, 20 %): 2.550.000 EUR — bezahlt am 12.11.2021</w:t>
      </w:r>
    </w:p>
    <w:p>
      <w:pPr>
        <w:pStyle w:val="ListBullet"/>
      </w:pPr>
      <w:r>
        <w:t>Milestone 2 (nach Produktionsfreigabe, 30 %): 3.825.000 EUR — bezahlt am 04.03.2023</w:t>
      </w:r>
    </w:p>
    <w:p>
      <w:pPr>
        <w:pStyle w:val="ListBullet"/>
      </w:pPr>
      <w:r>
        <w:t>Milestone 3 (nach FAT — Factory Acceptance Test, 30 %): 3.825.000 EUR — bezahlt am 22.08.2024</w:t>
      </w:r>
    </w:p>
    <w:p>
      <w:pPr>
        <w:pStyle w:val="ListBullet"/>
      </w:pPr>
      <w:r>
        <w:t xml:space="preserve">Milestone 4 (nach SAT — Site Acceptance Test und Endabnahme, 20 %): 2.550.000 EUR — </w:t>
      </w:r>
      <w:r>
        <w:rPr>
          <w:b/>
        </w:rPr>
        <w:t>nicht bezahlt</w:t>
      </w:r>
    </w:p>
    <w:p>
      <w:pPr>
        <w:pStyle w:val="ListBullet"/>
      </w:pPr>
      <w:r>
        <w:t xml:space="preserve">Milestone 4-Bonus (Terminprämie laut Amendment No. 2, Art. 4.3): 2.250.000 EUR — </w:t>
      </w:r>
      <w:r>
        <w:rPr>
          <w:b/>
        </w:rPr>
        <w:t>nicht bezahlt</w:t>
      </w:r>
    </w:p>
    <w:p>
      <w:pPr>
        <w:pStyle w:val="ListBullet"/>
      </w:pPr>
      <w:r>
        <w:rPr>
          <w:b/>
        </w:rPr>
        <w:t>Summe Streitgegenstand:</w:t>
      </w:r>
      <w:r>
        <w:t xml:space="preserve"> 4.800.000 EUR</w:t>
      </w:r>
    </w:p>
    <w:p>
      <w:pPr>
        <w:pStyle w:val="Heading3"/>
      </w:pPr>
      <w:r>
        <w:rPr>
          <w:rFonts w:ascii="Times New Roman" w:hAnsi="Times New Roman"/>
        </w:rPr>
        <w:t>1.2 Abnahme und Zahlungsverweigerung</w:t>
      </w:r>
    </w:p>
    <w:p>
      <w:pPr>
        <w:jc w:val="left"/>
      </w:pPr>
      <w:r>
        <w:t>Das Site Acceptance Test-Protokoll wurde am 14. November 2024 von beiden Parteien unterzeichnet. BioMechanix-GF Pradeep Narayan unterzeichnete das SAT-Protokoll mit dem Zusatz „accepted with reservations regarding dust particle specification PMA-7000/DPS-3". Werkmann hält diese Reservierung für nicht vertraglich begründet (PMA-7000/DPS-3 ist keine Vertragsspezifikation, sondern eine BioMechanix-interne Klassifikation).</w:t>
      </w:r>
    </w:p>
    <w:p>
      <w:pPr>
        <w:jc w:val="left"/>
      </w:pPr>
      <w:r>
        <w:t>BioMechanix hat die Zahlung des Milestone 4 trotz wiederholter Mahnung (Mahnschreiben vom 10.12.2024, 08.01.2025, 21.02.2025) und Fristsetzung (Ultimatum 07.03.2025) verweigert. Begründung laut BioMechanix-Anwalt (Cyril Amarchand Mangaldas, Mumbai): Mängel der Staubpartikelspezifikation, angebliche Nichteinhaltung von Good Manufacturing Practice (GMP)-Anforderungen.</w:t>
      </w:r>
    </w:p>
    <w:p/>
    <w:p>
      <w:pPr>
        <w:pStyle w:val="Heading2"/>
      </w:pPr>
      <w:r>
        <w:rPr>
          <w:rFonts w:ascii="Times New Roman" w:hAnsi="Times New Roman"/>
        </w:rPr>
        <w:t>2. ICC-Schiedsverfahren — Stand</w:t>
      </w:r>
    </w:p>
    <w:p>
      <w:pPr>
        <w:pStyle w:val="Heading3"/>
      </w:pPr>
      <w:r>
        <w:rPr>
          <w:rFonts w:ascii="Times New Roman" w:hAnsi="Times New Roman"/>
        </w:rPr>
        <w:t>2.1 Request for Arbitration</w:t>
      </w:r>
    </w:p>
    <w:p>
      <w:pPr>
        <w:jc w:val="left"/>
      </w:pPr>
      <w:r>
        <w:t>Werkmann hat am 18. Februar 2026 einen Request for Arbitration beim ICC Secretariat in Paris eingereicht (über das Kanzleisystem DOCX-Vorlage; vollständiger Schriftsatz: docx/icc_request_for_arbitration.docx). Der Request enthält:</w:t>
      </w:r>
    </w:p>
    <w:p>
      <w:pPr>
        <w:pStyle w:val="ListBullet"/>
      </w:pPr>
      <w:r>
        <w:t>Parteien-Identifikation und Anwaltsvollmachten</w:t>
      </w:r>
    </w:p>
    <w:p>
      <w:pPr>
        <w:pStyle w:val="ListBullet"/>
      </w:pPr>
      <w:r>
        <w:t>Schiedsklausel (Art. 18.2 des Liefervertrags: ICC-Schiedsverfahren, Paris, deutsches Recht)</w:t>
      </w:r>
    </w:p>
    <w:p>
      <w:pPr>
        <w:pStyle w:val="ListBullet"/>
      </w:pPr>
      <w:r>
        <w:t>Kurzsachverhalt (Statement of Facts)</w:t>
      </w:r>
    </w:p>
    <w:p>
      <w:pPr>
        <w:pStyle w:val="ListBullet"/>
      </w:pPr>
      <w:r>
        <w:t>Klageforderung: 4.800.000 EUR zzgl. Zinsen (§ 288 Abs. 2 BGB: 9 Prozentpunkte über Basiszinssatz ab Fälligkeit 14.11.2024) und Kosten</w:t>
      </w:r>
    </w:p>
    <w:p>
      <w:pPr>
        <w:pStyle w:val="Heading3"/>
      </w:pPr>
      <w:r>
        <w:rPr>
          <w:rFonts w:ascii="Times New Roman" w:hAnsi="Times New Roman"/>
        </w:rPr>
        <w:t>2.2 Konstituierung des Schiedsgerichts</w:t>
      </w:r>
    </w:p>
    <w:p>
      <w:pPr>
        <w:jc w:val="left"/>
      </w:pPr>
      <w:r>
        <w:t>Gemäß Art. 12 ICC Arbitration Rules 2021 ist für einen Streitwert ab 5 Millionen EUR ein Dreierschiedsgericht vorgesehen. Werkmann hat als Schiedsrichter nominiert: Prof. Dr. Matthias Leistner (Universität München, Spezialist für internationales Vertragsrecht). BioMechanix hat bisher (Stand: 10. April 2026) keinen Schiedsrichter nominiert; ICC-Frist zur Nominierung: 30 Tage ab Zustellung des Request (Zustellung: 01. März 2026 → Frist: 31. März 2026, abgelaufen). Konsequenz: Vorsitzender des ICC Court kann BioMechanix-Schiedsrichter nach Art. 13 Abs. 4 ICC Rules ernennen (Antrag durch Werkmann am 08. April 2026 gestellt).</w:t>
      </w:r>
    </w:p>
    <w:p>
      <w:pPr>
        <w:pStyle w:val="Heading3"/>
      </w:pPr>
      <w:r>
        <w:rPr>
          <w:rFonts w:ascii="Times New Roman" w:hAnsi="Times New Roman"/>
        </w:rPr>
        <w:t>2.3 Vorläufige Maßnahmen</w:t>
      </w:r>
    </w:p>
    <w:p>
      <w:pPr>
        <w:jc w:val="left"/>
      </w:pPr>
      <w:r>
        <w:t>In Betracht gezogen wird ein Antrag auf vorläufige Maßnahmen nach Art. 28 ICC Rules 2021 (Interim Measures). Alternativ besteht in Deutschland die Möglichkeit, einen dinglichen Arrest gemäß §§ 916 ff. ZPO beim Landgericht Frankfurt (Az. 3-21 O 144/26) zu beantragen, um Vermögen der BioMechanix (deutsche Bankverbindung bei Commerzbank Frankfurt, Kontoinhaber: BioMechanix Pvt. Ltd.) zu sichern. Dieser Antrag ist bereits vorbereitet (LG Frankfurt 3-21 O 144/26 — Arrest-Antrag, Stand: Entwurf).</w:t>
      </w:r>
    </w:p>
    <w:p/>
    <w:p>
      <w:pPr>
        <w:pStyle w:val="Heading2"/>
      </w:pPr>
      <w:r>
        <w:rPr>
          <w:rFonts w:ascii="Times New Roman" w:hAnsi="Times New Roman"/>
        </w:rPr>
        <w:t>3. Materiellrechtliche Würdigung</w:t>
      </w:r>
    </w:p>
    <w:p>
      <w:pPr>
        <w:pStyle w:val="Heading3"/>
      </w:pPr>
      <w:r>
        <w:rPr>
          <w:rFonts w:ascii="Times New Roman" w:hAnsi="Times New Roman"/>
        </w:rPr>
        <w:t>3.1 Fälligkeit der Forderung (§ 271 BGB)</w:t>
      </w:r>
    </w:p>
    <w:p>
      <w:pPr>
        <w:jc w:val="left"/>
      </w:pPr>
      <w:r>
        <w:t>Der Milestone 4 ist gemäß Art. 5.4 des Liefervertrags mit Unterzeichnung des SAT-Protokolls fällig. Die Unterzeichnung erfolgte am 14. November 2024. Einwände der Käuferin gegen die Fälligkeit:</w:t>
      </w:r>
    </w:p>
    <w:p>
      <w:pPr>
        <w:pStyle w:val="ListBullet"/>
      </w:pPr>
      <w:r>
        <w:t xml:space="preserve">Die Reservierung im SAT-Protokoll stelle keine wirksame Abnahme dar → </w:t>
      </w:r>
      <w:r>
        <w:rPr>
          <w:b/>
        </w:rPr>
        <w:t>Gegenargument:</w:t>
      </w:r>
      <w:r>
        <w:t xml:space="preserve"> SAT-Protokoll enthält die beiderseits gültige Abnahmeerklärung; Vorbehalte begründen allenfalls Mängelansprüche, nicht das Zurückhalten des Kaufpreises.</w:t>
      </w:r>
    </w:p>
    <w:p>
      <w:pPr>
        <w:pStyle w:val="ListBullet"/>
      </w:pPr>
      <w:r>
        <w:t xml:space="preserve">Kein gesondertes Garantiezertifikat überreicht → </w:t>
      </w:r>
      <w:r>
        <w:rPr>
          <w:b/>
        </w:rPr>
        <w:t>Gegenargument:</w:t>
      </w:r>
      <w:r>
        <w:t xml:space="preserve"> Liefervertrag sieht kein Garantiezertifikat als Zahlungsvoraussetzung vor.</w:t>
      </w:r>
    </w:p>
    <w:p>
      <w:pPr>
        <w:pStyle w:val="Heading3"/>
      </w:pPr>
      <w:r>
        <w:rPr>
          <w:rFonts w:ascii="Times New Roman" w:hAnsi="Times New Roman"/>
        </w:rPr>
        <w:t>3.2 Zurückbehaltungsrecht (§ 320 BGB)</w:t>
      </w:r>
    </w:p>
    <w:p>
      <w:pPr>
        <w:jc w:val="left"/>
      </w:pPr>
      <w:r>
        <w:t>BioMechanix könnte ein Zurückbehaltungsrecht geltend machen (§ 320 BGB: Einrede des nichterfüllten Vertrags). Voraussetzung: Ein noch nicht erfüllter gegenseitiger Anspruch der Käuferin aus dem Vertrag. Hier: etwaige Mängelbeseitigungsansprüche wegen der Staubpartikelspezifikation. Nach § 641 Abs. 3 BGB (anwendbar analog für Kaufverträge mit werkvertraglichem Charakter) kann der Besteller bei wesentlichen Mängeln den dreifachen zur Mängelbeseitigung erforderlichen Betrag zurückhalten — nicht jedoch die gesamte Restzahlung.</w:t>
      </w:r>
    </w:p>
    <w:p/>
    <w:p>
      <w:pPr>
        <w:pStyle w:val="Heading2"/>
      </w:pPr>
      <w:r>
        <w:rPr>
          <w:rFonts w:ascii="Times New Roman" w:hAnsi="Times New Roman"/>
        </w:rPr>
        <w:t>4. Streitwert und Kostenrisiko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Hauptforderung Milestone 4</w:t>
            </w:r>
          </w:p>
        </w:tc>
        <w:tc>
          <w:tcPr>
            <w:tcW w:type="dxa" w:w="4536"/>
          </w:tcPr>
          <w:p>
            <w:r>
              <w:rPr>
                <w:rFonts w:ascii="Times New Roman" w:hAnsi="Times New Roman"/>
                <w:sz w:val="20"/>
              </w:rPr>
              <w:t>2.550.000 EUR</w:t>
            </w:r>
          </w:p>
        </w:tc>
      </w:tr>
      <w:tr>
        <w:tc>
          <w:tcPr>
            <w:tcW w:type="dxa" w:w="4536"/>
          </w:tcPr>
          <w:p>
            <w:r>
              <w:rPr>
                <w:rFonts w:ascii="Times New Roman" w:hAnsi="Times New Roman"/>
                <w:sz w:val="20"/>
              </w:rPr>
              <w:t>Terminprämie Bonus (Art. 4.3 Amendment No. 2)</w:t>
            </w:r>
          </w:p>
        </w:tc>
        <w:tc>
          <w:tcPr>
            <w:tcW w:type="dxa" w:w="4536"/>
          </w:tcPr>
          <w:p>
            <w:r>
              <w:rPr>
                <w:rFonts w:ascii="Times New Roman" w:hAnsi="Times New Roman"/>
                <w:sz w:val="20"/>
              </w:rPr>
              <w:t>2.250.000 EUR</w:t>
            </w:r>
          </w:p>
        </w:tc>
      </w:tr>
      <w:tr>
        <w:tc>
          <w:tcPr>
            <w:tcW w:type="dxa" w:w="4536"/>
          </w:tcPr>
          <w:p>
            <w:r>
              <w:rPr>
                <w:rFonts w:ascii="Times New Roman" w:hAnsi="Times New Roman"/>
                <w:sz w:val="20"/>
              </w:rPr>
              <w:t>Zinsen (9 Pp. über Basiszinssatz, ca. 15 Monate)</w:t>
            </w:r>
          </w:p>
        </w:tc>
        <w:tc>
          <w:tcPr>
            <w:tcW w:type="dxa" w:w="4536"/>
          </w:tcPr>
          <w:p>
            <w:r>
              <w:rPr>
                <w:rFonts w:ascii="Times New Roman" w:hAnsi="Times New Roman"/>
                <w:sz w:val="20"/>
              </w:rPr>
              <w:t>ca. 684.000 EUR</w:t>
            </w:r>
          </w:p>
        </w:tc>
      </w:tr>
      <w:tr>
        <w:tc>
          <w:tcPr>
            <w:tcW w:type="dxa" w:w="4536"/>
          </w:tcPr>
          <w:p>
            <w:r>
              <w:rPr>
                <w:rFonts w:ascii="Times New Roman" w:hAnsi="Times New Roman"/>
                <w:b/>
                <w:sz w:val="20"/>
              </w:rPr>
              <w:t>Gesamtstreitwert</w:t>
            </w:r>
          </w:p>
        </w:tc>
        <w:tc>
          <w:tcPr>
            <w:tcW w:type="dxa" w:w="4536"/>
          </w:tcPr>
          <w:p>
            <w:r>
              <w:rPr>
                <w:rFonts w:ascii="Times New Roman" w:hAnsi="Times New Roman"/>
                <w:b/>
                <w:sz w:val="20"/>
              </w:rPr>
              <w:t>ca. 5.484.000 EUR</w:t>
            </w:r>
          </w:p>
        </w:tc>
      </w:tr>
      <w:tr>
        <w:tc>
          <w:tcPr>
            <w:tcW w:type="dxa" w:w="4536"/>
          </w:tcPr>
          <w:p>
            <w:r>
              <w:rPr>
                <w:rFonts w:ascii="Times New Roman" w:hAnsi="Times New Roman"/>
                <w:sz w:val="20"/>
              </w:rPr>
              <w:t>ICC Filing Fee (Art. 37 ICC Appendix III, ca. 0,13 %)</w:t>
            </w:r>
          </w:p>
        </w:tc>
        <w:tc>
          <w:tcPr>
            <w:tcW w:type="dxa" w:w="4536"/>
          </w:tcPr>
          <w:p>
            <w:r>
              <w:rPr>
                <w:rFonts w:ascii="Times New Roman" w:hAnsi="Times New Roman"/>
                <w:sz w:val="20"/>
              </w:rPr>
              <w:t>ca. 7.129 EUR</w:t>
            </w:r>
          </w:p>
        </w:tc>
      </w:tr>
      <w:tr>
        <w:tc>
          <w:tcPr>
            <w:tcW w:type="dxa" w:w="4536"/>
          </w:tcPr>
          <w:p>
            <w:r>
              <w:rPr>
                <w:rFonts w:ascii="Times New Roman" w:hAnsi="Times New Roman"/>
                <w:sz w:val="20"/>
              </w:rPr>
              <w:t>Vorauszahlung Schiedsrichtergebühren</w:t>
            </w:r>
          </w:p>
        </w:tc>
        <w:tc>
          <w:tcPr>
            <w:tcW w:type="dxa" w:w="4536"/>
          </w:tcPr>
          <w:p>
            <w:r>
              <w:rPr>
                <w:rFonts w:ascii="Times New Roman" w:hAnsi="Times New Roman"/>
                <w:sz w:val="20"/>
              </w:rPr>
              <w:t>ca. 120.000 EUR</w:t>
            </w:r>
          </w:p>
        </w:tc>
      </w:tr>
    </w:tbl>
    <w:p/>
    <w:p>
      <w:pPr>
        <w:jc w:val="left"/>
      </w:pPr>
      <w:r>
        <w:rPr>
          <w:i/>
        </w:rPr>
        <w:t>Bearbeitung: RAin Dr. Boekenkamp / RAin Katharina Schreiner — Stand: 12.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Schiedsgericht: ICC International Court of Arbitration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Schiedsgericht: ICC International Court of Arbitration</w:t>
    </w:r>
  </w:p>
  <w:p>
    <w:pPr>
      <w:jc w:val="left"/>
      <w:pBdr>
        <w:bottom w:val="single" w:sz="6" w:space="2" w:color="3B3F45"/>
      </w:pBdr>
    </w:pPr>
    <w:r>
      <w:rPr>
        <w:rFonts w:ascii="Times New Roman" w:hAnsi="Times New Roman"/>
        <w:color w:val="6B6B66"/>
        <w:sz w:val="16"/>
      </w:rPr>
      <w:t>33–43 avenue du Président Wilson, 75116 Paris · Aktenzeichen: ICC Paris 28-441/SCH/MS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