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13 — Dinglicher Arrest LG Frankfurt 3-21 O 144/26: Sicherung BioMechanix-Forderung</w:t>
      </w:r>
    </w:p>
    <w:p>
      <w:pPr>
        <w:jc w:val="left"/>
      </w:pPr>
      <w:r>
        <w:rPr>
          <w:b/>
        </w:rPr>
        <w:t>Aktenzeichen:</w:t>
      </w:r>
      <w:r>
        <w:t xml:space="preserve"> LG Frankfurt 3-21 O 144/26</w:t>
      </w:r>
    </w:p>
    <w:p>
      <w:pPr>
        <w:jc w:val="left"/>
      </w:pPr>
      <w:r>
        <w:rPr>
          <w:b/>
        </w:rPr>
        <w:t>Gericht:</w:t>
      </w:r>
      <w:r>
        <w:t xml:space="preserve"> Landgericht Frankfurt am Main, 3. Kammer für Handelssachen</w:t>
      </w:r>
    </w:p>
    <w:p>
      <w:pPr>
        <w:jc w:val="left"/>
      </w:pPr>
      <w:r>
        <w:rPr>
          <w:b/>
        </w:rPr>
        <w:t>Antragstellerin:</w:t>
      </w:r>
      <w:r>
        <w:t xml:space="preserve"> Werkmann Anlagentechnik AG, Industriestraße 88, 68169 Mannheim</w:t>
      </w:r>
    </w:p>
    <w:p>
      <w:pPr>
        <w:jc w:val="left"/>
      </w:pPr>
      <w:r>
        <w:rPr>
          <w:b/>
        </w:rPr>
        <w:t>Antragsgegnerin:</w:t>
      </w:r>
      <w:r>
        <w:t xml:space="preserve"> BioMechanix Pvt. Ltd., Plot No. 117, Baner Road, Pune 411045, Indien</w:t>
      </w:r>
    </w:p>
    <w:p>
      <w:pPr>
        <w:jc w:val="left"/>
      </w:pPr>
      <w:r>
        <w:rPr>
          <w:b/>
        </w:rPr>
        <w:t>Streitgegenstand:</w:t>
      </w:r>
      <w:r>
        <w:t xml:space="preserve"> Dinglicher Arrest zur Sicherung der Forderung aus ICC-Schiedsverfahren 28-441/SCH/MS</w:t>
      </w:r>
    </w:p>
    <w:p>
      <w:pPr>
        <w:jc w:val="left"/>
      </w:pPr>
      <w:r>
        <w:rPr>
          <w:b/>
        </w:rPr>
        <w:t>Antragssumme:</w:t>
      </w:r>
      <w:r>
        <w:t xml:space="preserve"> 5.484.000 EUR (Hauptforderung zzgl. Zinsen und Kosten)</w:t>
      </w:r>
    </w:p>
    <w:p>
      <w:pPr>
        <w:jc w:val="left"/>
      </w:pPr>
      <w:r>
        <w:rPr>
          <w:b/>
        </w:rPr>
        <w:t>Erstellt:</w:t>
      </w:r>
      <w:r>
        <w:t xml:space="preserve"> 25. April 2026</w:t>
      </w:r>
    </w:p>
    <w:p>
      <w:pPr>
        <w:jc w:val="left"/>
      </w:pPr>
      <w:r>
        <w:rPr>
          <w:b/>
        </w:rPr>
        <w:t>Bearbeitung:</w:t>
      </w:r>
      <w:r>
        <w:t xml:space="preserve"> RAin Katharina Schreiner, Kanzlei Salzgitter, Boekenkamp &amp; Trautmannsdorf</w:t>
      </w:r>
    </w:p>
    <w:p/>
    <w:p>
      <w:pPr>
        <w:pStyle w:val="Heading2"/>
      </w:pPr>
      <w:r>
        <w:rPr>
          <w:rFonts w:ascii="Times New Roman" w:hAnsi="Times New Roman"/>
        </w:rPr>
        <w:t>1. Zulässigkeit des Arrestes</w:t>
      </w:r>
    </w:p>
    <w:p>
      <w:pPr>
        <w:pStyle w:val="Heading3"/>
      </w:pPr>
      <w:r>
        <w:rPr>
          <w:rFonts w:ascii="Times New Roman" w:hAnsi="Times New Roman"/>
        </w:rPr>
        <w:t>1.1 Internationale Zuständigkeit des LG Frankfurt</w:t>
      </w:r>
    </w:p>
    <w:p>
      <w:pPr>
        <w:jc w:val="left"/>
      </w:pPr>
      <w:r>
        <w:t>Die internationale Zuständigkeit der deutschen Gerichte für den Arrestantrag ergibt sich aus Art. 35 VO (EU) 1215/2012 (Brüssel-Ia-VO). Gemäß Art. 35 Brüssel-Ia-VO können einstweilige Maßnahmen (hier: Arrest) vor den Gerichten eines Mitgliedstaats beantragt werden, auch wenn ein anderes Gericht für die Hauptsache zuständig ist.</w:t>
      </w:r>
    </w:p>
    <w:p>
      <w:pPr>
        <w:jc w:val="left"/>
      </w:pPr>
      <w:r>
        <w:t>Da der Hauptsacheanspruch im ICC-Schiedsverfahren (Paris) verfolgt wird, stellt sich die Frage der Kompetenzverteilung zwischen staatlichen Gerichten und Schiedsgericht. Gemäß § 1033 ZPO (Anwendung auf internationale Schiedsverfahren mit Sitz in Deutschland oder Ausland, soweit deutsches Zivilprozessrecht berufen ist) sind staatliche Gerichte auch während laufender Schiedsverfahren für vorläufige Sicherungsmaßnahmen zuständig. Diese Möglichkeit ist auch in Art. 29 ICC Rules 2021 (Emergency Arbitrator) vorgesehen, der jedoch eine höhere Hürde aufweist.</w:t>
      </w:r>
    </w:p>
    <w:p>
      <w:pPr>
        <w:pStyle w:val="Heading3"/>
      </w:pPr>
      <w:r>
        <w:rPr>
          <w:rFonts w:ascii="Times New Roman" w:hAnsi="Times New Roman"/>
        </w:rPr>
        <w:t>1.2 Arrestgrund (§ 917 ZPO)</w:t>
      </w:r>
    </w:p>
    <w:p>
      <w:pPr>
        <w:jc w:val="left"/>
      </w:pPr>
      <w:r>
        <w:t>Der Arrestgrund liegt vor, wenn ohne den Arrest die Vollstreckung des Urteils (bzw. hier: des zukünftigen Schiedsspruchs) vereitelt oder wesentlich erschwert werden würde. Vorliegend:</w:t>
      </w:r>
    </w:p>
    <w:p>
      <w:pPr>
        <w:pStyle w:val="ListBullet"/>
      </w:pPr>
      <w:r>
        <w:t>BioMechanix Pvt. Ltd. ist ein indisches Unternehmen ohne deutsche Niederlassung.</w:t>
      </w:r>
    </w:p>
    <w:p>
      <w:pPr>
        <w:pStyle w:val="ListBullet"/>
      </w:pPr>
      <w:r>
        <w:t>Die Vollstreckung eines ICC-Schiedsspruchs in Indien nach dem New Yorker Übereinkommen (UNÜ, BGBl. II 1961, S. 121) erfordert ein förmliches Anerkennungsverfahren und kann erhebliche Zeit in Anspruch nehmen (Erfahrungswerte: 2–5 Jahre).</w:t>
      </w:r>
    </w:p>
    <w:p>
      <w:pPr>
        <w:pStyle w:val="ListBullet"/>
      </w:pPr>
      <w:r>
        <w:t>BioMechanix verfügt über ein Bankkonto bei der Commerzbank Frankfurt (IBAN: DE04 2004 0060 0124 7788 00 — vorl. identifiziert über Zahlungsverkehr aus Milestone 3-Zahlung vom 22.08.2024).</w:t>
      </w:r>
    </w:p>
    <w:p>
      <w:pPr>
        <w:pStyle w:val="Heading3"/>
      </w:pPr>
      <w:r>
        <w:rPr>
          <w:rFonts w:ascii="Times New Roman" w:hAnsi="Times New Roman"/>
        </w:rPr>
        <w:t>1.3 Arrestanspruch (§ 916 ZPO)</w:t>
      </w:r>
    </w:p>
    <w:p>
      <w:pPr>
        <w:jc w:val="left"/>
      </w:pPr>
      <w:r>
        <w:t>Der Arrestanspruch besteht in der Hauptforderung von 4.800.000 EUR (Milestone 4 + Terminprämie), die zumindest überwiegend wahrscheinlich (glaubhaft gemacht, § 920 Abs. 2 ZPO) besteht:</w:t>
      </w:r>
    </w:p>
    <w:p>
      <w:pPr>
        <w:pStyle w:val="ListBullet"/>
      </w:pPr>
      <w:r>
        <w:t>SAT-Protokoll vom 14.11.2024 — unterzeichnet, Abnahme wirksam</w:t>
      </w:r>
    </w:p>
    <w:p>
      <w:pPr>
        <w:pStyle w:val="ListBullet"/>
      </w:pPr>
      <w:r>
        <w:t>Vertragsklausel Art. 5.4: Fälligkeit mit Unterzeichnung SAT</w:t>
      </w:r>
    </w:p>
    <w:p>
      <w:pPr>
        <w:pStyle w:val="ListBullet"/>
      </w:pPr>
      <w:r>
        <w:t>Keine wirksame Mängelrüge im Sinne des § 377 HGB (keine ordnungsgemäße Untersuchungsanzeige innerhalb der Rügefrist)</w:t>
      </w:r>
    </w:p>
    <w:p/>
    <w:p>
      <w:pPr>
        <w:pStyle w:val="Heading2"/>
      </w:pPr>
      <w:r>
        <w:rPr>
          <w:rFonts w:ascii="Times New Roman" w:hAnsi="Times New Roman"/>
        </w:rPr>
        <w:t>2. Antrag</w:t>
      </w:r>
    </w:p>
    <w:p>
      <w:pPr>
        <w:jc w:val="left"/>
      </w:pPr>
      <w:r>
        <w:t>Die Antragstellerin beantragt:</w:t>
      </w:r>
    </w:p>
    <w:p>
      <w:pPr>
        <w:ind w:left="567"/>
      </w:pPr>
      <w:r>
        <w:rPr>
          <w:i/>
        </w:rPr>
        <w:t>Das Gericht möge zur Sicherung der Forderung der Antragstellerin gegen die Antragsgegnerin in Höhe von 5.484.000 EUR (Hauptforderung: 4.800.000 EUR; Zinsen: ca. 684.000 EUR) den dinglichen Arrest in das gesamte Vermögen der Antragsgegnerin, insbesondere in das Guthaben auf dem Konto bei der Commerzbank AG, Frankfurt am Main (IBAN: DE04 2004 0060 0124 7788 00), anordnen.</w:t>
      </w:r>
    </w:p>
    <w:p>
      <w:pPr>
        <w:jc w:val="left"/>
      </w:pPr>
      <w:r>
        <w:t>Eventualantrag: Arrest in das Konto bei der Commerzbank beschränkt auf 5.484.000 EUR.</w:t>
      </w:r>
    </w:p>
    <w:p/>
    <w:p>
      <w:pPr>
        <w:pStyle w:val="Heading2"/>
      </w:pPr>
      <w:r>
        <w:rPr>
          <w:rFonts w:ascii="Times New Roman" w:hAnsi="Times New Roman"/>
        </w:rPr>
        <w:t>3. Glaubhaftmachung</w:t>
      </w:r>
    </w:p>
    <w:p>
      <w:pPr>
        <w:pStyle w:val="Heading3"/>
      </w:pPr>
      <w:r>
        <w:rPr>
          <w:rFonts w:ascii="Times New Roman" w:hAnsi="Times New Roman"/>
        </w:rPr>
        <w:t>3.1 Unterlagen zur Glaubhaftmachung</w:t>
      </w:r>
    </w:p>
    <w:p>
      <w:pPr>
        <w:pStyle w:val="ListBullet"/>
      </w:pPr>
      <w:r>
        <w:t>Liefervertrag WAT-IN-2021-001 nebst Amendment No. 2 (in englischer Sprache, mit beglaubigter Übersetzung)</w:t>
      </w:r>
    </w:p>
    <w:p>
      <w:pPr>
        <w:pStyle w:val="ListBullet"/>
      </w:pPr>
      <w:r>
        <w:t>SAT-Protokoll vom 14.11.2024</w:t>
      </w:r>
    </w:p>
    <w:p>
      <w:pPr>
        <w:pStyle w:val="ListBullet"/>
      </w:pPr>
      <w:r>
        <w:t>Mahnschreiben der Kanzlei vom 10.12.2024, 08.01.2025, 21.02.2025</w:t>
      </w:r>
    </w:p>
    <w:p>
      <w:pPr>
        <w:pStyle w:val="ListBullet"/>
      </w:pPr>
      <w:r>
        <w:t>Vollmacht RAin Schreiner</w:t>
      </w:r>
    </w:p>
    <w:p>
      <w:pPr>
        <w:pStyle w:val="ListBullet"/>
      </w:pPr>
      <w:r>
        <w:t>Eidesstattliche Versicherung von GF Dr. Werkmann-Lottermann zum Sachverhalt</w:t>
      </w:r>
    </w:p>
    <w:p>
      <w:pPr>
        <w:pStyle w:val="Heading3"/>
      </w:pPr>
      <w:r>
        <w:rPr>
          <w:rFonts w:ascii="Times New Roman" w:hAnsi="Times New Roman"/>
        </w:rPr>
        <w:t>3.2 Sicherheitsleistung</w:t>
      </w:r>
    </w:p>
    <w:p>
      <w:pPr>
        <w:jc w:val="left"/>
      </w:pPr>
      <w:r>
        <w:t>Die Antragstellerin ist bereit, die vom Gericht gegebenenfalls nach § 921 ZPO geforderte Sicherheitsleistung zu erbringen. Vorgeschlagen wird die Hinterlegung einer selbstschuldnerischen Bankbürgschaft der Commerzbank AG, Frankfurt, in Höhe von 500.000 EUR.</w:t>
      </w:r>
    </w:p>
    <w:p/>
    <w:p>
      <w:pPr>
        <w:pStyle w:val="Heading2"/>
      </w:pPr>
      <w:r>
        <w:rPr>
          <w:rFonts w:ascii="Times New Roman" w:hAnsi="Times New Roman"/>
        </w:rPr>
        <w:t>4. Verfahrensstand</w:t>
      </w:r>
    </w:p>
    <w:p>
      <w:pPr>
        <w:jc w:val="left"/>
      </w:pPr>
      <w:r>
        <w:t>Einreichung des Arrestantrags beim LG Frankfurt: 28. April 2026 (geplant). Geschäftsverteilungsplan LG Frankfurt: 3. Kammer für Handelssachen ist zuständig für internationale Handelssachen (§ 348 ZPO); Bearbeitungszeit für Arrestbeschlüsse erfahrungsgemäß 24–72 Stunden bei überwiegender Glaubhaftmachung.</w:t>
      </w:r>
    </w:p>
    <w:p/>
    <w:p>
      <w:pPr>
        <w:jc w:val="left"/>
      </w:pPr>
      <w:r>
        <w:rPr>
          <w:i/>
        </w:rPr>
        <w:t>Bearbeitung: RAin Katharina Schreiner — Stand: 25. April 2026 (Entwurf, zur Freigabe durch Dr. Boekenkamp)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Frankfurt</w:t>
    </w:r>
  </w:p>
  <w:p>
    <w:pPr>
      <w:jc w:val="left"/>
      <w:pBdr>
        <w:bottom w:val="single" w:sz="6" w:space="2" w:color="3B3F45"/>
      </w:pBdr>
    </w:pPr>
    <w:r>
      <w:rPr>
        <w:rFonts w:ascii="Times New Roman" w:hAnsi="Times New Roman"/>
        <w:color w:val="6B6B66"/>
        <w:sz w:val="16"/>
      </w:rPr>
      <w:t>3. Kammer für Handelssachen · 21 O 144/26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