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16 — ICC-Schiedsverfahren: Konstituierung Schiedsgericht und Preliminary Session</w:t>
      </w:r>
    </w:p>
    <w:p>
      <w:pPr>
        <w:jc w:val="left"/>
      </w:pPr>
      <w:r>
        <w:rPr>
          <w:b/>
        </w:rPr>
        <w:t>Aktenzeichen:</w:t>
      </w:r>
      <w:r>
        <w:t xml:space="preserve"> ICC Paris 28-441/SCH/MS</w:t>
      </w:r>
    </w:p>
    <w:p>
      <w:pPr>
        <w:jc w:val="left"/>
      </w:pPr>
      <w:r>
        <w:rPr>
          <w:b/>
        </w:rPr>
        <w:t>Erstellt:</w:t>
      </w:r>
      <w:r>
        <w:t xml:space="preserve"> 12. Mai 2026</w:t>
      </w:r>
    </w:p>
    <w:p>
      <w:pPr>
        <w:jc w:val="left"/>
      </w:pPr>
      <w:r>
        <w:rPr>
          <w:b/>
        </w:rPr>
        <w:t>Bearbeitung:</w:t>
      </w:r>
      <w:r>
        <w:t xml:space="preserve"> RAin Katharina Schreiner, Kanzlei Salzgitter, Boekenkamp &amp; Trautmannsdorf</w:t>
      </w:r>
    </w:p>
    <w:p/>
    <w:p>
      <w:pPr>
        <w:pStyle w:val="Heading2"/>
      </w:pPr>
      <w:r>
        <w:rPr>
          <w:rFonts w:ascii="Times New Roman" w:hAnsi="Times New Roman"/>
        </w:rPr>
        <w:t>1. Stand der Konstituierung</w:t>
      </w:r>
    </w:p>
    <w:p>
      <w:pPr>
        <w:pStyle w:val="Heading3"/>
      </w:pPr>
      <w:r>
        <w:rPr>
          <w:rFonts w:ascii="Times New Roman" w:hAnsi="Times New Roman"/>
        </w:rPr>
        <w:t>1.1 Schiedsrichterernennung</w:t>
      </w:r>
    </w:p>
    <w:p>
      <w:pPr>
        <w:jc w:val="left"/>
      </w:pPr>
      <w:r>
        <w:t>Nach der Fristversäumnis der Beklagten (BioMechanix Pvt. Ltd.) zur Benennung eines eigenen Schiedsrichters hat der ICC Court gemäß Art. 13 Abs. 4 ICC Arbitration Rules 2021 auf Antrag der Klägerin (Werkmann, Antrag vom 08.04.2026) einen Schiedsrichter für die Beklagte ernannt. Der ICC Court hat mit Entscheidung vom 05. Mai 2026 folgende Personen ernannt:</w:t>
      </w:r>
    </w:p>
    <w:p>
      <w:pPr>
        <w:pStyle w:val="ListBullet"/>
      </w:pPr>
      <w:r>
        <w:rPr>
          <w:b/>
        </w:rPr>
        <w:t>Klägerin-Schiedsrichter (von Werkmann nominiert):</w:t>
      </w:r>
      <w:r>
        <w:t xml:space="preserve"> Prof. Dr. Matthias Leistner, Universität München</w:t>
      </w:r>
    </w:p>
    <w:p>
      <w:pPr>
        <w:pStyle w:val="ListBullet"/>
      </w:pPr>
      <w:r>
        <w:rPr>
          <w:b/>
        </w:rPr>
        <w:t>Beklagten-Schiedsrichter (durch ICC Court ernannt):</w:t>
      </w:r>
      <w:r>
        <w:t xml:space="preserve"> Mr. Vikram Nair, Senior Advocate, New Delhi (Spezialist für Indo-deutsches Handelsrecht)</w:t>
      </w:r>
    </w:p>
    <w:p>
      <w:pPr>
        <w:pStyle w:val="ListBullet"/>
      </w:pPr>
      <w:r>
        <w:rPr>
          <w:b/>
        </w:rPr>
        <w:t>Vorsitzender Schiedsrichter (durch ICC Court ernannt):</w:t>
      </w:r>
      <w:r>
        <w:t xml:space="preserve"> Mme. Prof. Nathalie Voser, Schönherr Rechtsanwälte/Wien (international renommierte Schiedsrichterin, ICC-Vorsitzende-Erfahrung)</w:t>
      </w:r>
    </w:p>
    <w:p>
      <w:pPr>
        <w:jc w:val="left"/>
      </w:pPr>
      <w:r>
        <w:t>Die Konstituierung ist damit abgeschlossen.</w:t>
      </w:r>
    </w:p>
    <w:p>
      <w:pPr>
        <w:pStyle w:val="Heading3"/>
      </w:pPr>
      <w:r>
        <w:rPr>
          <w:rFonts w:ascii="Times New Roman" w:hAnsi="Times New Roman"/>
        </w:rPr>
        <w:t>1.2 Offenlegungspflichten</w:t>
      </w:r>
    </w:p>
    <w:p>
      <w:pPr>
        <w:jc w:val="left"/>
      </w:pPr>
      <w:r>
        <w:t>Alle drei Schiedsrichter haben die nach Art. 11 ICC Rules erforderlichen Erklärungen zur Unabhängigkeit und Unparteilichkeit abgegeben. Keine Einwände von Parteien.</w:t>
      </w:r>
    </w:p>
    <w:p/>
    <w:p>
      <w:pPr>
        <w:pStyle w:val="Heading2"/>
      </w:pPr>
      <w:r>
        <w:rPr>
          <w:rFonts w:ascii="Times New Roman" w:hAnsi="Times New Roman"/>
        </w:rPr>
        <w:t>2. Terms of Reference (Art. 23 ICC Rules)</w:t>
      </w:r>
    </w:p>
    <w:p>
      <w:pPr>
        <w:jc w:val="left"/>
      </w:pPr>
      <w:r>
        <w:t>Die Terms of Reference (ToR) wurden am 10. Mai 2026 von allen Schiedsrichtern und von Werkmann-Vertreter Dr. Boekenkamp unterzeichnet. BioMechanix hat die Unterzeichnung durch seinen neu benannten indischen Anwalt (AZB &amp; Partners, Mumbai, Partner Rahul Datta) abgelehnt — Konsequenz: Das Schiedsgericht kann die Verfahren auch ohne Unterzeichnung fortführen (Art. 23 Abs. 3 ICC Rules).</w:t>
      </w:r>
    </w:p>
    <w:p>
      <w:pPr>
        <w:jc w:val="left"/>
      </w:pPr>
      <w:r>
        <w:t>ToR-Inhalt (wesentliche Punkte):</w:t>
      </w:r>
    </w:p>
    <w:p>
      <w:pPr>
        <w:pStyle w:val="ListBullet"/>
      </w:pPr>
      <w:r>
        <w:t>Streitgegenstand: 4.800.000 EUR (Milestone 4 + Terminprämie) nebst Zinsen</w:t>
      </w:r>
    </w:p>
    <w:p>
      <w:pPr>
        <w:pStyle w:val="ListBullet"/>
      </w:pPr>
      <w:r>
        <w:t>Anwendbares Recht: Deutsches materielles Recht (BGB, HGB); ICC Arbitration Rules 2021</w:t>
      </w:r>
    </w:p>
    <w:p>
      <w:pPr>
        <w:pStyle w:val="ListBullet"/>
      </w:pPr>
      <w:r>
        <w:t>Schiedssprache: Englisch</w:t>
      </w:r>
    </w:p>
    <w:p>
      <w:pPr>
        <w:pStyle w:val="ListBullet"/>
      </w:pPr>
      <w:r>
        <w:t>Beweisverfahren: IBA Rules on the Taking of Evidence in International Arbitration (2020) als Leitlinie</w:t>
      </w:r>
    </w:p>
    <w:p>
      <w:pPr>
        <w:pStyle w:val="ListBullet"/>
      </w:pPr>
      <w:r>
        <w:t>Sitz: Paris, Frankreich; Verhandlung voraussichtlich April 2027</w:t>
      </w:r>
    </w:p>
    <w:p/>
    <w:p>
      <w:pPr>
        <w:pStyle w:val="Heading2"/>
      </w:pPr>
      <w:r>
        <w:rPr>
          <w:rFonts w:ascii="Times New Roman" w:hAnsi="Times New Roman"/>
        </w:rPr>
        <w:t>3. Preliminary Session (Art. 24 ICC Rules)</w:t>
      </w:r>
    </w:p>
    <w:p>
      <w:pPr>
        <w:jc w:val="left"/>
      </w:pPr>
      <w:r>
        <w:t>Die erste Prozessleitende Sitzung (Case Management Conference / Preliminary Session) ist für den 08. Juni 2026 geplant (telefonisch). Agenda:</w:t>
      </w:r>
    </w:p>
    <w:p>
      <w:pPr>
        <w:pStyle w:val="ListNumber"/>
      </w:pPr>
      <w:r>
        <w:t>Bestätigung Verfahrenskalender</w:t>
      </w:r>
    </w:p>
    <w:p>
      <w:pPr>
        <w:pStyle w:val="ListNumber"/>
      </w:pPr>
      <w:r>
        <w:t>Sprache und Schriftformerfordernisse</w:t>
      </w:r>
    </w:p>
    <w:p>
      <w:pPr>
        <w:pStyle w:val="ListNumber"/>
      </w:pPr>
      <w:r>
        <w:t>Austausch der Schriftsätze (Statement of Claim → Statement of Defence → Reply → Rejoinder)</w:t>
      </w:r>
    </w:p>
    <w:p>
      <w:pPr>
        <w:pStyle w:val="ListNumber"/>
      </w:pPr>
      <w:r>
        <w:t>Beweiserhebung: Dokumentenproduktion (Document Request), Zeugen, Sachverständige</w:t>
      </w:r>
    </w:p>
    <w:p>
      <w:pPr>
        <w:pStyle w:val="ListNumber"/>
      </w:pPr>
      <w:r>
        <w:t>Hauptverhandlung: April 2027 (geplant, drei Tage, Paris)</w:t>
      </w:r>
    </w:p>
    <w:p/>
    <w:p>
      <w:pPr>
        <w:pStyle w:val="Heading2"/>
      </w:pPr>
      <w:r>
        <w:rPr>
          <w:rFonts w:ascii="Times New Roman" w:hAnsi="Times New Roman"/>
        </w:rPr>
        <w:t>4. Verfahrenskalender (geplant)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Schriftsatz</w:t>
            </w:r>
          </w:p>
        </w:tc>
        <w:tc>
          <w:tcPr>
            <w:tcW w:type="dxa" w:w="4536"/>
          </w:tcPr>
          <w:p>
            <w:r>
              <w:rPr>
                <w:rFonts w:ascii="Times New Roman" w:hAnsi="Times New Roman"/>
                <w:b/>
                <w:sz w:val="20"/>
              </w:rPr>
              <w:t>Deadline</w:t>
            </w:r>
          </w:p>
        </w:tc>
      </w:tr>
      <w:tr>
        <w:tc>
          <w:tcPr>
            <w:tcW w:type="dxa" w:w="4536"/>
          </w:tcPr>
          <w:p>
            <w:r>
              <w:rPr>
                <w:rFonts w:ascii="Times New Roman" w:hAnsi="Times New Roman"/>
                <w:sz w:val="20"/>
              </w:rPr>
              <w:t>Statement of Claim (Klagebegründung, vollständig)</w:t>
            </w:r>
          </w:p>
        </w:tc>
        <w:tc>
          <w:tcPr>
            <w:tcW w:type="dxa" w:w="4536"/>
          </w:tcPr>
          <w:p>
            <w:r>
              <w:rPr>
                <w:rFonts w:ascii="Times New Roman" w:hAnsi="Times New Roman"/>
                <w:sz w:val="20"/>
              </w:rPr>
              <w:t>30. Juli 2026</w:t>
            </w:r>
          </w:p>
        </w:tc>
      </w:tr>
      <w:tr>
        <w:tc>
          <w:tcPr>
            <w:tcW w:type="dxa" w:w="4536"/>
          </w:tcPr>
          <w:p>
            <w:r>
              <w:rPr>
                <w:rFonts w:ascii="Times New Roman" w:hAnsi="Times New Roman"/>
                <w:sz w:val="20"/>
              </w:rPr>
              <w:t>Statement of Defence + Counterclaim</w:t>
            </w:r>
          </w:p>
        </w:tc>
        <w:tc>
          <w:tcPr>
            <w:tcW w:type="dxa" w:w="4536"/>
          </w:tcPr>
          <w:p>
            <w:r>
              <w:rPr>
                <w:rFonts w:ascii="Times New Roman" w:hAnsi="Times New Roman"/>
                <w:sz w:val="20"/>
              </w:rPr>
              <w:t>30. Oktober 2026</w:t>
            </w:r>
          </w:p>
        </w:tc>
      </w:tr>
      <w:tr>
        <w:tc>
          <w:tcPr>
            <w:tcW w:type="dxa" w:w="4536"/>
          </w:tcPr>
          <w:p>
            <w:r>
              <w:rPr>
                <w:rFonts w:ascii="Times New Roman" w:hAnsi="Times New Roman"/>
                <w:sz w:val="20"/>
              </w:rPr>
              <w:t>Reply to Defence</w:t>
            </w:r>
          </w:p>
        </w:tc>
        <w:tc>
          <w:tcPr>
            <w:tcW w:type="dxa" w:w="4536"/>
          </w:tcPr>
          <w:p>
            <w:r>
              <w:rPr>
                <w:rFonts w:ascii="Times New Roman" w:hAnsi="Times New Roman"/>
                <w:sz w:val="20"/>
              </w:rPr>
              <w:t>15. Dezember 2026</w:t>
            </w:r>
          </w:p>
        </w:tc>
      </w:tr>
      <w:tr>
        <w:tc>
          <w:tcPr>
            <w:tcW w:type="dxa" w:w="4536"/>
          </w:tcPr>
          <w:p>
            <w:r>
              <w:rPr>
                <w:rFonts w:ascii="Times New Roman" w:hAnsi="Times New Roman"/>
                <w:sz w:val="20"/>
              </w:rPr>
              <w:t>Rejoinder</w:t>
            </w:r>
          </w:p>
        </w:tc>
        <w:tc>
          <w:tcPr>
            <w:tcW w:type="dxa" w:w="4536"/>
          </w:tcPr>
          <w:p>
            <w:r>
              <w:rPr>
                <w:rFonts w:ascii="Times New Roman" w:hAnsi="Times New Roman"/>
                <w:sz w:val="20"/>
              </w:rPr>
              <w:t>31. Januar 2027</w:t>
            </w:r>
          </w:p>
        </w:tc>
      </w:tr>
      <w:tr>
        <w:tc>
          <w:tcPr>
            <w:tcW w:type="dxa" w:w="4536"/>
          </w:tcPr>
          <w:p>
            <w:r>
              <w:rPr>
                <w:rFonts w:ascii="Times New Roman" w:hAnsi="Times New Roman"/>
                <w:sz w:val="20"/>
              </w:rPr>
              <w:t>Document Production</w:t>
            </w:r>
          </w:p>
        </w:tc>
        <w:tc>
          <w:tcPr>
            <w:tcW w:type="dxa" w:w="4536"/>
          </w:tcPr>
          <w:p>
            <w:r>
              <w:rPr>
                <w:rFonts w:ascii="Times New Roman" w:hAnsi="Times New Roman"/>
                <w:sz w:val="20"/>
              </w:rPr>
              <w:t>Februar 2027</w:t>
            </w:r>
          </w:p>
        </w:tc>
      </w:tr>
      <w:tr>
        <w:tc>
          <w:tcPr>
            <w:tcW w:type="dxa" w:w="4536"/>
          </w:tcPr>
          <w:p>
            <w:r>
              <w:rPr>
                <w:rFonts w:ascii="Times New Roman" w:hAnsi="Times New Roman"/>
                <w:sz w:val="20"/>
              </w:rPr>
              <w:t>Hauptverhandlung Paris</w:t>
            </w:r>
          </w:p>
        </w:tc>
        <w:tc>
          <w:tcPr>
            <w:tcW w:type="dxa" w:w="4536"/>
          </w:tcPr>
          <w:p>
            <w:r>
              <w:rPr>
                <w:rFonts w:ascii="Times New Roman" w:hAnsi="Times New Roman"/>
                <w:sz w:val="20"/>
              </w:rPr>
              <w:t>12.–14. April 2027</w:t>
            </w:r>
          </w:p>
        </w:tc>
      </w:tr>
      <w:tr>
        <w:tc>
          <w:tcPr>
            <w:tcW w:type="dxa" w:w="4536"/>
          </w:tcPr>
          <w:p>
            <w:r>
              <w:rPr>
                <w:rFonts w:ascii="Times New Roman" w:hAnsi="Times New Roman"/>
                <w:sz w:val="20"/>
              </w:rPr>
              <w:t>Schiedsspruch (erwartet)</w:t>
            </w:r>
          </w:p>
        </w:tc>
        <w:tc>
          <w:tcPr>
            <w:tcW w:type="dxa" w:w="4536"/>
          </w:tcPr>
          <w:p>
            <w:r>
              <w:rPr>
                <w:rFonts w:ascii="Times New Roman" w:hAnsi="Times New Roman"/>
                <w:sz w:val="20"/>
              </w:rPr>
              <w:t>3. Quartal 2027</w:t>
            </w:r>
          </w:p>
        </w:tc>
      </w:tr>
    </w:tbl>
    <w:p/>
    <w:p>
      <w:pPr>
        <w:pStyle w:val="Heading2"/>
      </w:pPr>
      <w:r>
        <w:rPr>
          <w:rFonts w:ascii="Times New Roman" w:hAnsi="Times New Roman"/>
        </w:rPr>
        <w:t>5. Vorbereitungsmaßnahmen Kanzlei</w:t>
      </w:r>
    </w:p>
    <w:p>
      <w:pPr>
        <w:pStyle w:val="ListBullet"/>
      </w:pPr>
      <w:r>
        <w:t>Beauftragung eines Sachverständigen für GMP-Anforderungen der Staubpartikelspezifikation: Prof. Dr. Berthold Klüver (Fraunhofer IPA Stuttgart), Angebot erbeten bis 20.05.2026</w:t>
      </w:r>
    </w:p>
    <w:p>
      <w:pPr>
        <w:pStyle w:val="ListBullet"/>
      </w:pPr>
      <w:r>
        <w:t>Sicherung aller FAT- und SAT-Protokolle im Original (englische Originalfassung); beglaubigte deutsche Übersetzung für ToR</w:t>
      </w:r>
    </w:p>
    <w:p>
      <w:pPr>
        <w:pStyle w:val="ListBullet"/>
      </w:pPr>
      <w:r>
        <w:t>Koordination mit BioMechanix-Zahlung aus Commerzbank-Konto: Arrestbeschluss LG Frankfurt 3-21 O 144/26 (erwartet Ende April 2026) wird dem Schiedsgericht mitgeteilt</w:t>
      </w:r>
    </w:p>
    <w:p/>
    <w:p>
      <w:pPr>
        <w:jc w:val="left"/>
      </w:pPr>
      <w:r>
        <w:rPr>
          <w:i/>
        </w:rPr>
        <w:t>Bearbeitung: RAin Schreiner — Stand: 15. Mai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Aktenstück 16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Aktenstück 16</w:t>
    </w:r>
  </w:p>
  <w:p>
    <w:pPr>
      <w:jc w:val="left"/>
      <w:pBdr>
        <w:bottom w:val="single" w:sz="6" w:space="2" w:color="3B3F45"/>
      </w:pBdr>
    </w:pPr>
    <w:r>
      <w:rPr>
        <w:rFonts w:ascii="Times New Roman" w:hAnsi="Times New Roman"/>
        <w:color w:val="6B6B66"/>
        <w:sz w:val="16"/>
      </w:rPr>
      <w:t>Gericht · Aktenzeichen: ICC Paris 28-441/SCH/MS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