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Klage VG Hannover 4 A 4188/26 — Strategie und Vorbereitung</w:t>
      </w:r>
    </w:p>
    <w:p>
      <w:pPr>
        <w:jc w:val="left"/>
      </w:pPr>
      <w:r>
        <w:rPr>
          <w:b/>
        </w:rPr>
        <w:t>Aktenzeichen:</w:t>
      </w:r>
      <w:r>
        <w:t xml:space="preserve"> VG Hannover 4 A 4188/26</w:t>
      </w:r>
    </w:p>
    <w:p>
      <w:pPr>
        <w:jc w:val="left"/>
      </w:pPr>
      <w:r>
        <w:rPr>
          <w:b/>
        </w:rPr>
        <w:t>Klage erhoben:</w:t>
      </w:r>
      <w:r>
        <w:t xml:space="preserve"> 07.04.2026</w:t>
      </w:r>
    </w:p>
    <w:p>
      <w:pPr>
        <w:jc w:val="left"/>
      </w:pPr>
      <w:r>
        <w:rPr>
          <w:b/>
        </w:rPr>
        <w:t>Gericht:</w:t>
      </w:r>
      <w:r>
        <w:t xml:space="preserve"> Verwaltungsgericht Hannover, Postfach 906, 30009 Hannover</w:t>
      </w:r>
    </w:p>
    <w:p>
      <w:pPr>
        <w:jc w:val="left"/>
      </w:pPr>
      <w:r>
        <w:rPr>
          <w:b/>
        </w:rPr>
        <w:t>Zuständige Kammer:</w:t>
      </w:r>
      <w:r>
        <w:t xml:space="preserve"> 4. Kammer (Asylsachen)</w:t>
      </w:r>
    </w:p>
    <w:p>
      <w:pPr>
        <w:jc w:val="left"/>
      </w:pPr>
      <w:r>
        <w:rPr>
          <w:b/>
        </w:rPr>
        <w:t>Stand Strategie:</w:t>
      </w:r>
      <w:r>
        <w:t xml:space="preserve"> 17.04.2026</w:t>
      </w:r>
    </w:p>
    <w:p/>
    <w:p>
      <w:pPr>
        <w:pStyle w:val="Heading2"/>
      </w:pPr>
      <w:r>
        <w:rPr>
          <w:rFonts w:ascii="Times New Roman" w:hAnsi="Times New Roman"/>
        </w:rPr>
        <w:t>1. Prozessuale Grundlagen</w:t>
      </w:r>
    </w:p>
    <w:p>
      <w:pPr>
        <w:pStyle w:val="Heading3"/>
      </w:pPr>
      <w:r>
        <w:rPr>
          <w:rFonts w:ascii="Times New Roman" w:hAnsi="Times New Roman"/>
        </w:rPr>
        <w:t>1.1 Zulässigkeit</w:t>
      </w:r>
    </w:p>
    <w:p>
      <w:pPr>
        <w:jc w:val="left"/>
      </w:pPr>
      <w:r>
        <w:t>Die Klage richtet sich gegen den BAMF-Bescheid vom 21.03.2026 (ZA 9-44-188-2026) und ist als Anfechtungsklage (§ 42 Abs. 1 VwGO) kombiniert mit einer Verpflichtungsklage auf Zuerkennung des Flüchtlingsschutzes nach § 3 AsylG (hilfsweise subsidiärer Schutz § 4 AsylG, weiter hilfsweise Abschiebungsverbote § 60 Abs. 5 und 7 AufenthG) statthaft.</w:t>
      </w:r>
    </w:p>
    <w:p>
      <w:pPr>
        <w:jc w:val="left"/>
      </w:pPr>
      <w:r>
        <w:t>Klagefrist nach § 74 Abs. 1 AsylG: 14 Tage (bei offensichtlich unbegründeten Anträgen nach §§ 29a, 30 AsylG wäre es 1 Woche, ist hier nicht einschlägig). Zustellung 25.03.2026, Frist 08.04.2026; Klage am 07.04.2026 fristgerecht erhoben.</w:t>
      </w:r>
    </w:p>
    <w:p>
      <w:pPr>
        <w:jc w:val="left"/>
      </w:pPr>
      <w:r>
        <w:t>Klageberechtigte: Reza Amiri, Shirin Hosseini-Tabrizi sowie die Kinder Darius, Yasmin, Bahar und Reza jr. als Kläger zu 1 bis 6 (vertreten durch die sorgeberechtigten Eltern).</w:t>
      </w:r>
    </w:p>
    <w:p>
      <w:pPr>
        <w:pStyle w:val="Heading3"/>
      </w:pPr>
      <w:r>
        <w:rPr>
          <w:rFonts w:ascii="Times New Roman" w:hAnsi="Times New Roman"/>
        </w:rPr>
        <w:t>1.2 Begründungsfrist und Zeitplan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07.04.2026</w:t>
            </w:r>
          </w:p>
        </w:tc>
        <w:tc>
          <w:tcPr>
            <w:tcW w:type="dxa" w:w="4536"/>
          </w:tcPr>
          <w:p>
            <w:r>
              <w:rPr>
                <w:rFonts w:ascii="Times New Roman" w:hAnsi="Times New Roman"/>
                <w:sz w:val="20"/>
              </w:rPr>
              <w:t>Klage erhoben (Begründung angekündigt)</w:t>
            </w:r>
          </w:p>
        </w:tc>
      </w:tr>
      <w:tr>
        <w:tc>
          <w:tcPr>
            <w:tcW w:type="dxa" w:w="4536"/>
          </w:tcPr>
          <w:p>
            <w:r>
              <w:rPr>
                <w:rFonts w:ascii="Times New Roman" w:hAnsi="Times New Roman"/>
                <w:sz w:val="20"/>
              </w:rPr>
              <w:t>14.04.2026</w:t>
            </w:r>
          </w:p>
        </w:tc>
        <w:tc>
          <w:tcPr>
            <w:tcW w:type="dxa" w:w="4536"/>
          </w:tcPr>
          <w:p>
            <w:r>
              <w:rPr>
                <w:rFonts w:ascii="Times New Roman" w:hAnsi="Times New Roman"/>
                <w:sz w:val="20"/>
              </w:rPr>
              <w:t>Erstgespräch RAin Kollatz-Ahnen</w:t>
            </w:r>
          </w:p>
        </w:tc>
      </w:tr>
      <w:tr>
        <w:tc>
          <w:tcPr>
            <w:tcW w:type="dxa" w:w="4536"/>
          </w:tcPr>
          <w:p>
            <w:r>
              <w:rPr>
                <w:rFonts w:ascii="Times New Roman" w:hAnsi="Times New Roman"/>
                <w:sz w:val="20"/>
              </w:rPr>
              <w:t>30.06.2026</w:t>
            </w:r>
          </w:p>
        </w:tc>
        <w:tc>
          <w:tcPr>
            <w:tcW w:type="dxa" w:w="4536"/>
          </w:tcPr>
          <w:p>
            <w:r>
              <w:rPr>
                <w:rFonts w:ascii="Times New Roman" w:hAnsi="Times New Roman"/>
                <w:sz w:val="20"/>
              </w:rPr>
              <w:t>Zieldatum vollständige Klagebegründung</w:t>
            </w:r>
          </w:p>
        </w:tc>
      </w:tr>
      <w:tr>
        <w:tc>
          <w:tcPr>
            <w:tcW w:type="dxa" w:w="4536"/>
          </w:tcPr>
          <w:p>
            <w:r>
              <w:rPr>
                <w:rFonts w:ascii="Times New Roman" w:hAnsi="Times New Roman"/>
                <w:sz w:val="20"/>
              </w:rPr>
              <w:t>Q3 2026</w:t>
            </w:r>
          </w:p>
        </w:tc>
        <w:tc>
          <w:tcPr>
            <w:tcW w:type="dxa" w:w="4536"/>
          </w:tcPr>
          <w:p>
            <w:r>
              <w:rPr>
                <w:rFonts w:ascii="Times New Roman" w:hAnsi="Times New Roman"/>
                <w:sz w:val="20"/>
              </w:rPr>
              <w:t>Erwartung: Aufforderung zur Stellungnahme durch VG</w:t>
            </w:r>
          </w:p>
        </w:tc>
      </w:tr>
      <w:tr>
        <w:tc>
          <w:tcPr>
            <w:tcW w:type="dxa" w:w="4536"/>
          </w:tcPr>
          <w:p>
            <w:r>
              <w:rPr>
                <w:rFonts w:ascii="Times New Roman" w:hAnsi="Times New Roman"/>
                <w:sz w:val="20"/>
              </w:rPr>
              <w:t>Q4 2026</w:t>
            </w:r>
          </w:p>
        </w:tc>
        <w:tc>
          <w:tcPr>
            <w:tcW w:type="dxa" w:w="4536"/>
          </w:tcPr>
          <w:p>
            <w:r>
              <w:rPr>
                <w:rFonts w:ascii="Times New Roman" w:hAnsi="Times New Roman"/>
                <w:sz w:val="20"/>
              </w:rPr>
              <w:t>Ggf. mündliche Verhandlung oder Bescheid auf Antrag Einzelrichter</w:t>
            </w:r>
          </w:p>
        </w:tc>
      </w:tr>
    </w:tbl>
    <w:p/>
    <w:p>
      <w:pPr>
        <w:pStyle w:val="Heading2"/>
      </w:pPr>
      <w:r>
        <w:rPr>
          <w:rFonts w:ascii="Times New Roman" w:hAnsi="Times New Roman"/>
        </w:rPr>
        <w:t>2. Klageziele und Antragshierarchie</w:t>
      </w:r>
    </w:p>
    <w:p>
      <w:pPr>
        <w:jc w:val="left"/>
      </w:pPr>
      <w:r>
        <w:rPr>
          <w:b/>
        </w:rPr>
        <w:t>Hauptantrag:</w:t>
      </w:r>
    </w:p>
    <w:p>
      <w:pPr>
        <w:jc w:val="left"/>
      </w:pPr>
      <w:r>
        <w:t>Aufhebung des Bescheids ZA 9-44-188-2026 und Verpflichtung des BAMF, den Klägern die Flüchtlingseigenschaft nach § 3 AsylG zuzuerkennen.</w:t>
      </w:r>
    </w:p>
    <w:p>
      <w:pPr>
        <w:jc w:val="left"/>
      </w:pPr>
      <w:r>
        <w:rPr>
          <w:b/>
        </w:rPr>
        <w:t>Hilfsantrag 1:</w:t>
      </w:r>
    </w:p>
    <w:p>
      <w:pPr>
        <w:jc w:val="left"/>
      </w:pPr>
      <w:r>
        <w:t>Verpflichtung des BAMF zur Zuerkennung subsidiären Schutzes nach § 4 AsylG.</w:t>
      </w:r>
    </w:p>
    <w:p>
      <w:pPr>
        <w:jc w:val="left"/>
      </w:pPr>
      <w:r>
        <w:rPr>
          <w:b/>
        </w:rPr>
        <w:t>Hilfsantrag 2:</w:t>
      </w:r>
    </w:p>
    <w:p>
      <w:pPr>
        <w:jc w:val="left"/>
      </w:pPr>
      <w:r>
        <w:t>Feststellung von Abschiebungsverboten nach § 60 Abs. 5 AufenthG (EMRK-Verletzung bei Rückkehr) und § 60 Abs. 7 AufenthG (individuelles Abschiebungsverbot wegen Erkrankung Reza jr.).</w:t>
      </w:r>
    </w:p>
    <w:p>
      <w:pPr>
        <w:jc w:val="left"/>
      </w:pPr>
      <w:r>
        <w:rPr>
          <w:b/>
        </w:rPr>
        <w:t>Hilfsantrag 3 (Dublin):</w:t>
      </w:r>
    </w:p>
    <w:p>
      <w:pPr>
        <w:jc w:val="left"/>
      </w:pPr>
      <w:r>
        <w:t>Aufhebung der Abschiebungsanordnungen (gegenüber Kroatien und Griechenland) — bereits Gegenstand des Eilantrags nach § 80 Abs. 5 VwGO (Aktenstück 10); wird im Hauptsacheverfahren fortgeführt.</w:t>
      </w:r>
    </w:p>
    <w:p/>
    <w:p>
      <w:pPr>
        <w:pStyle w:val="Heading2"/>
      </w:pPr>
      <w:r>
        <w:rPr>
          <w:rFonts w:ascii="Times New Roman" w:hAnsi="Times New Roman"/>
        </w:rPr>
        <w:t>3. Klagegründe im Überblick</w:t>
      </w:r>
    </w:p>
    <w:p>
      <w:pPr>
        <w:pStyle w:val="Heading3"/>
      </w:pPr>
      <w:r>
        <w:rPr>
          <w:rFonts w:ascii="Times New Roman" w:hAnsi="Times New Roman"/>
        </w:rPr>
        <w:t>3.1 Verletzung des Rechts auf effektive Prüfung (Art. 46 RL 2013/32/EU)</w:t>
      </w:r>
    </w:p>
    <w:p>
      <w:pPr>
        <w:jc w:val="left"/>
      </w:pPr>
      <w:r>
        <w:t>Das BAMF hat die Anhörung unter unzureichenden Bedingungen durchgeführt: zu kurze Dauer, Protokollierungsmängel (vgl. Aktenstück 05), fehlende Berücksichtigung des Mängelheilungsschreibens vom 29.01.2026. Diese Fehler begründen bereits einen Aufhebungsanspruch, unabhängig von der materiellen Rechtsfrage.</w:t>
      </w:r>
    </w:p>
    <w:p>
      <w:pPr>
        <w:pStyle w:val="Heading3"/>
      </w:pPr>
      <w:r>
        <w:rPr>
          <w:rFonts w:ascii="Times New Roman" w:hAnsi="Times New Roman"/>
        </w:rPr>
        <w:t>3.2 Verletzung von § 3 AsylG i.V.m. Art. 9, 10 QRL</w:t>
      </w:r>
    </w:p>
    <w:p>
      <w:pPr>
        <w:jc w:val="left"/>
      </w:pPr>
      <w:r>
        <w:t>Das BAMF hat die Verfolgungshandlungen (Hausdurchsuchung, Haftbefehl, Verhörvorladung) und die Verfolgungsgründe (Religion, Apostasie) nicht nach dem EuGH-Maßstab (Y und Z) geprüft. Es ist unzulässig, von den Klägern zu verlangen, ihren Glauben zu verbergen. Da Reza einen offenen Haftbefehl wegen Apostasie hat, ist die Verfolgungswahrscheinlichkeit bei Rückkehr als sehr hoch einzuschätzen.</w:t>
      </w:r>
    </w:p>
    <w:p>
      <w:pPr>
        <w:pStyle w:val="Heading3"/>
      </w:pPr>
      <w:r>
        <w:rPr>
          <w:rFonts w:ascii="Times New Roman" w:hAnsi="Times New Roman"/>
        </w:rPr>
        <w:t>3.3 Verletzung von § 60 Abs. 7 AufenthG (Reza jr.)</w:t>
      </w:r>
    </w:p>
    <w:p>
      <w:pPr>
        <w:jc w:val="left"/>
      </w:pPr>
      <w:r>
        <w:t>Das BAMF hat das ärztliche Attest zur kongenitalen Herzerkrankung von Reza jr. nicht gewürdigt. § 60 Abs. 7 Satz 1 AufenthG schützt vor Abschiebung, wenn im Zielstaat eine erhebliche konkrete Gefahr für Leib oder Leben besteht. Reza jr. benötigt eine Herzoperation (OP-Termin MHH voraussichtlich Q3 2026); eine Überstellung nach Griechenland würde diese gefährden.</w:t>
      </w:r>
    </w:p>
    <w:p>
      <w:pPr>
        <w:pStyle w:val="Heading3"/>
      </w:pPr>
      <w:r>
        <w:rPr>
          <w:rFonts w:ascii="Times New Roman" w:hAnsi="Times New Roman"/>
        </w:rPr>
        <w:t>3.4 Dublin — Familieneinheit und systemische Mängel</w:t>
      </w:r>
    </w:p>
    <w:p>
      <w:pPr>
        <w:jc w:val="left"/>
      </w:pPr>
      <w:r>
        <w:t>Die gespaltene Überstellungsverfügung (Vater nach Kroatien, Mutter und Kinder nach Griechenland) verletzt Art. 11 und Art. 16 Dublin-III-VO sowie Art. 7 GRCh (Recht auf Familienleben). Zudem bestehen systemische Mängel in beiden Zielstaaten (→ Aktenstück 04).</w:t>
      </w:r>
    </w:p>
    <w:p/>
    <w:p>
      <w:pPr>
        <w:pStyle w:val="Heading2"/>
      </w:pPr>
      <w:r>
        <w:rPr>
          <w:rFonts w:ascii="Times New Roman" w:hAnsi="Times New Roman"/>
        </w:rPr>
        <w:t>4. Beweismittel und Beweisangebote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Beweismittel</w:t>
            </w:r>
          </w:p>
        </w:tc>
        <w:tc>
          <w:tcPr>
            <w:tcW w:type="dxa" w:w="2268"/>
          </w:tcPr>
          <w:p>
            <w:r>
              <w:rPr>
                <w:rFonts w:ascii="Times New Roman" w:hAnsi="Times New Roman"/>
                <w:b/>
                <w:sz w:val="20"/>
              </w:rPr>
              <w:t>Art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B1</w:t>
            </w:r>
          </w:p>
        </w:tc>
        <w:tc>
          <w:tcPr>
            <w:tcW w:type="dxa" w:w="2268"/>
          </w:tcPr>
          <w:p>
            <w:r>
              <w:rPr>
                <w:rFonts w:ascii="Times New Roman" w:hAnsi="Times New Roman"/>
                <w:sz w:val="20"/>
              </w:rPr>
              <w:t>Eidesstattliche Erklärung Reza Amiri (Konversion, Verfolgung)</w:t>
            </w:r>
          </w:p>
        </w:tc>
        <w:tc>
          <w:tcPr>
            <w:tcW w:type="dxa" w:w="2268"/>
          </w:tcPr>
          <w:p>
            <w:r>
              <w:rPr>
                <w:rFonts w:ascii="Times New Roman" w:hAnsi="Times New Roman"/>
                <w:sz w:val="20"/>
              </w:rPr>
              <w:t>Schriftl. Zeugnis</w:t>
            </w:r>
          </w:p>
        </w:tc>
        <w:tc>
          <w:tcPr>
            <w:tcW w:type="dxa" w:w="2268"/>
          </w:tcPr>
          <w:p>
            <w:r>
              <w:rPr>
                <w:rFonts w:ascii="Times New Roman" w:hAnsi="Times New Roman"/>
                <w:sz w:val="20"/>
              </w:rPr>
              <w:t>In Erstellung</w:t>
            </w:r>
          </w:p>
        </w:tc>
      </w:tr>
      <w:tr>
        <w:tc>
          <w:tcPr>
            <w:tcW w:type="dxa" w:w="2268"/>
          </w:tcPr>
          <w:p>
            <w:r>
              <w:rPr>
                <w:rFonts w:ascii="Times New Roman" w:hAnsi="Times New Roman"/>
                <w:sz w:val="20"/>
              </w:rPr>
              <w:t>B2</w:t>
            </w:r>
          </w:p>
        </w:tc>
        <w:tc>
          <w:tcPr>
            <w:tcW w:type="dxa" w:w="2268"/>
          </w:tcPr>
          <w:p>
            <w:r>
              <w:rPr>
                <w:rFonts w:ascii="Times New Roman" w:hAnsi="Times New Roman"/>
                <w:sz w:val="20"/>
              </w:rPr>
              <w:t>Eidesstattliche Erklärung Shirin Hosseini-Tabrizi</w:t>
            </w:r>
          </w:p>
        </w:tc>
        <w:tc>
          <w:tcPr>
            <w:tcW w:type="dxa" w:w="2268"/>
          </w:tcPr>
          <w:p>
            <w:r>
              <w:rPr>
                <w:rFonts w:ascii="Times New Roman" w:hAnsi="Times New Roman"/>
                <w:sz w:val="20"/>
              </w:rPr>
              <w:t>Schriftl. Zeugnis</w:t>
            </w:r>
          </w:p>
        </w:tc>
        <w:tc>
          <w:tcPr>
            <w:tcW w:type="dxa" w:w="2268"/>
          </w:tcPr>
          <w:p>
            <w:r>
              <w:rPr>
                <w:rFonts w:ascii="Times New Roman" w:hAnsi="Times New Roman"/>
                <w:sz w:val="20"/>
              </w:rPr>
              <w:t>In Erstellung</w:t>
            </w:r>
          </w:p>
        </w:tc>
      </w:tr>
      <w:tr>
        <w:tc>
          <w:tcPr>
            <w:tcW w:type="dxa" w:w="2268"/>
          </w:tcPr>
          <w:p>
            <w:r>
              <w:rPr>
                <w:rFonts w:ascii="Times New Roman" w:hAnsi="Times New Roman"/>
                <w:sz w:val="20"/>
              </w:rPr>
              <w:t>B3</w:t>
            </w:r>
          </w:p>
        </w:tc>
        <w:tc>
          <w:tcPr>
            <w:tcW w:type="dxa" w:w="2268"/>
          </w:tcPr>
          <w:p>
            <w:r>
              <w:rPr>
                <w:rFonts w:ascii="Times New Roman" w:hAnsi="Times New Roman"/>
                <w:sz w:val="20"/>
              </w:rPr>
              <w:t>Zeugnis Pastor Davood Rezaei (Taufzeuge)</w:t>
            </w:r>
          </w:p>
        </w:tc>
        <w:tc>
          <w:tcPr>
            <w:tcW w:type="dxa" w:w="2268"/>
          </w:tcPr>
          <w:p>
            <w:r>
              <w:rPr>
                <w:rFonts w:ascii="Times New Roman" w:hAnsi="Times New Roman"/>
                <w:sz w:val="20"/>
              </w:rPr>
              <w:t>Zeuge</w:t>
            </w:r>
          </w:p>
        </w:tc>
        <w:tc>
          <w:tcPr>
            <w:tcW w:type="dxa" w:w="2268"/>
          </w:tcPr>
          <w:p>
            <w:r>
              <w:rPr>
                <w:rFonts w:ascii="Times New Roman" w:hAnsi="Times New Roman"/>
                <w:sz w:val="20"/>
              </w:rPr>
              <w:t>Kontaktaufnahme läuft</w:t>
            </w:r>
          </w:p>
        </w:tc>
      </w:tr>
      <w:tr>
        <w:tc>
          <w:tcPr>
            <w:tcW w:type="dxa" w:w="2268"/>
          </w:tcPr>
          <w:p>
            <w:r>
              <w:rPr>
                <w:rFonts w:ascii="Times New Roman" w:hAnsi="Times New Roman"/>
                <w:sz w:val="20"/>
              </w:rPr>
              <w:t>B4</w:t>
            </w:r>
          </w:p>
        </w:tc>
        <w:tc>
          <w:tcPr>
            <w:tcW w:type="dxa" w:w="2268"/>
          </w:tcPr>
          <w:p>
            <w:r>
              <w:rPr>
                <w:rFonts w:ascii="Times New Roman" w:hAnsi="Times New Roman"/>
                <w:sz w:val="20"/>
              </w:rPr>
              <w:t>Zeugnis Farshid Golestan (Bahai-Verbindung, Kanada)</w:t>
            </w:r>
          </w:p>
        </w:tc>
        <w:tc>
          <w:tcPr>
            <w:tcW w:type="dxa" w:w="2268"/>
          </w:tcPr>
          <w:p>
            <w:r>
              <w:rPr>
                <w:rFonts w:ascii="Times New Roman" w:hAnsi="Times New Roman"/>
                <w:sz w:val="20"/>
              </w:rPr>
              <w:t>Schriftl. Zeugnis</w:t>
            </w:r>
          </w:p>
        </w:tc>
        <w:tc>
          <w:tcPr>
            <w:tcW w:type="dxa" w:w="2268"/>
          </w:tcPr>
          <w:p>
            <w:r>
              <w:rPr>
                <w:rFonts w:ascii="Times New Roman" w:hAnsi="Times New Roman"/>
                <w:sz w:val="20"/>
              </w:rPr>
              <w:t>In Vorbereitung</w:t>
            </w:r>
          </w:p>
        </w:tc>
      </w:tr>
      <w:tr>
        <w:tc>
          <w:tcPr>
            <w:tcW w:type="dxa" w:w="2268"/>
          </w:tcPr>
          <w:p>
            <w:r>
              <w:rPr>
                <w:rFonts w:ascii="Times New Roman" w:hAnsi="Times New Roman"/>
                <w:sz w:val="20"/>
              </w:rPr>
              <w:t>B5</w:t>
            </w:r>
          </w:p>
        </w:tc>
        <w:tc>
          <w:tcPr>
            <w:tcW w:type="dxa" w:w="2268"/>
          </w:tcPr>
          <w:p>
            <w:r>
              <w:rPr>
                <w:rFonts w:ascii="Times New Roman" w:hAnsi="Times New Roman"/>
                <w:sz w:val="20"/>
              </w:rPr>
              <w:t>Ärztliches Attest MHH (Reza jr., Herzleiden)</w:t>
            </w:r>
          </w:p>
        </w:tc>
        <w:tc>
          <w:tcPr>
            <w:tcW w:type="dxa" w:w="2268"/>
          </w:tcPr>
          <w:p>
            <w:r>
              <w:rPr>
                <w:rFonts w:ascii="Times New Roman" w:hAnsi="Times New Roman"/>
                <w:sz w:val="20"/>
              </w:rPr>
              <w:t>Urkundsbeweis</w:t>
            </w:r>
          </w:p>
        </w:tc>
        <w:tc>
          <w:tcPr>
            <w:tcW w:type="dxa" w:w="2268"/>
          </w:tcPr>
          <w:p>
            <w:r>
              <w:rPr>
                <w:rFonts w:ascii="Times New Roman" w:hAnsi="Times New Roman"/>
                <w:sz w:val="20"/>
              </w:rPr>
              <w:t>Liegt vor (→ Aktenstück 17)</w:t>
            </w:r>
          </w:p>
        </w:tc>
      </w:tr>
      <w:tr>
        <w:tc>
          <w:tcPr>
            <w:tcW w:type="dxa" w:w="2268"/>
          </w:tcPr>
          <w:p>
            <w:r>
              <w:rPr>
                <w:rFonts w:ascii="Times New Roman" w:hAnsi="Times New Roman"/>
                <w:sz w:val="20"/>
              </w:rPr>
              <w:t>B6</w:t>
            </w:r>
          </w:p>
        </w:tc>
        <w:tc>
          <w:tcPr>
            <w:tcW w:type="dxa" w:w="2268"/>
          </w:tcPr>
          <w:p>
            <w:r>
              <w:rPr>
                <w:rFonts w:ascii="Times New Roman" w:hAnsi="Times New Roman"/>
                <w:sz w:val="20"/>
              </w:rPr>
              <w:t>UNHCR-Leitlinien Iran 2024</w:t>
            </w:r>
          </w:p>
        </w:tc>
        <w:tc>
          <w:tcPr>
            <w:tcW w:type="dxa" w:w="2268"/>
          </w:tcPr>
          <w:p>
            <w:r>
              <w:rPr>
                <w:rFonts w:ascii="Times New Roman" w:hAnsi="Times New Roman"/>
                <w:sz w:val="20"/>
              </w:rPr>
              <w:t>Sachverständigenbericht</w:t>
            </w:r>
          </w:p>
        </w:tc>
        <w:tc>
          <w:tcPr>
            <w:tcW w:type="dxa" w:w="2268"/>
          </w:tcPr>
          <w:p>
            <w:r>
              <w:rPr>
                <w:rFonts w:ascii="Times New Roman" w:hAnsi="Times New Roman"/>
                <w:sz w:val="20"/>
              </w:rPr>
              <w:t>Beigefügt</w:t>
            </w:r>
          </w:p>
        </w:tc>
      </w:tr>
      <w:tr>
        <w:tc>
          <w:tcPr>
            <w:tcW w:type="dxa" w:w="2268"/>
          </w:tcPr>
          <w:p>
            <w:r>
              <w:rPr>
                <w:rFonts w:ascii="Times New Roman" w:hAnsi="Times New Roman"/>
                <w:sz w:val="20"/>
              </w:rPr>
              <w:t>B7</w:t>
            </w:r>
          </w:p>
        </w:tc>
        <w:tc>
          <w:tcPr>
            <w:tcW w:type="dxa" w:w="2268"/>
          </w:tcPr>
          <w:p>
            <w:r>
              <w:rPr>
                <w:rFonts w:ascii="Times New Roman" w:hAnsi="Times New Roman"/>
                <w:sz w:val="20"/>
              </w:rPr>
              <w:t>BAMF-Länderinformation Iran Dez. 2025</w:t>
            </w:r>
          </w:p>
        </w:tc>
        <w:tc>
          <w:tcPr>
            <w:tcW w:type="dxa" w:w="2268"/>
          </w:tcPr>
          <w:p>
            <w:r>
              <w:rPr>
                <w:rFonts w:ascii="Times New Roman" w:hAnsi="Times New Roman"/>
                <w:sz w:val="20"/>
              </w:rPr>
              <w:t>Amtl. Dokument</w:t>
            </w:r>
          </w:p>
        </w:tc>
        <w:tc>
          <w:tcPr>
            <w:tcW w:type="dxa" w:w="2268"/>
          </w:tcPr>
          <w:p>
            <w:r>
              <w:rPr>
                <w:rFonts w:ascii="Times New Roman" w:hAnsi="Times New Roman"/>
                <w:sz w:val="20"/>
              </w:rPr>
              <w:t>Beigefügt</w:t>
            </w:r>
          </w:p>
        </w:tc>
      </w:tr>
      <w:tr>
        <w:tc>
          <w:tcPr>
            <w:tcW w:type="dxa" w:w="2268"/>
          </w:tcPr>
          <w:p>
            <w:r>
              <w:rPr>
                <w:rFonts w:ascii="Times New Roman" w:hAnsi="Times New Roman"/>
                <w:sz w:val="20"/>
              </w:rPr>
              <w:t>B8</w:t>
            </w:r>
          </w:p>
        </w:tc>
        <w:tc>
          <w:tcPr>
            <w:tcW w:type="dxa" w:w="2268"/>
          </w:tcPr>
          <w:p>
            <w:r>
              <w:rPr>
                <w:rFonts w:ascii="Times New Roman" w:hAnsi="Times New Roman"/>
                <w:sz w:val="20"/>
              </w:rPr>
              <w:t>Bericht Border Violence Monitoring Network (Kroatien 2025)</w:t>
            </w:r>
          </w:p>
        </w:tc>
        <w:tc>
          <w:tcPr>
            <w:tcW w:type="dxa" w:w="2268"/>
          </w:tcPr>
          <w:p>
            <w:r>
              <w:rPr>
                <w:rFonts w:ascii="Times New Roman" w:hAnsi="Times New Roman"/>
                <w:sz w:val="20"/>
              </w:rPr>
              <w:t>Bericht</w:t>
            </w:r>
          </w:p>
        </w:tc>
        <w:tc>
          <w:tcPr>
            <w:tcW w:type="dxa" w:w="2268"/>
          </w:tcPr>
          <w:p>
            <w:r>
              <w:rPr>
                <w:rFonts w:ascii="Times New Roman" w:hAnsi="Times New Roman"/>
                <w:sz w:val="20"/>
              </w:rPr>
              <w:t>In Beschaffung</w:t>
            </w:r>
          </w:p>
        </w:tc>
      </w:tr>
      <w:tr>
        <w:tc>
          <w:tcPr>
            <w:tcW w:type="dxa" w:w="2268"/>
          </w:tcPr>
          <w:p>
            <w:r>
              <w:rPr>
                <w:rFonts w:ascii="Times New Roman" w:hAnsi="Times New Roman"/>
                <w:sz w:val="20"/>
              </w:rPr>
              <w:t>B9</w:t>
            </w:r>
          </w:p>
        </w:tc>
        <w:tc>
          <w:tcPr>
            <w:tcW w:type="dxa" w:w="2268"/>
          </w:tcPr>
          <w:p>
            <w:r>
              <w:rPr>
                <w:rFonts w:ascii="Times New Roman" w:hAnsi="Times New Roman"/>
                <w:sz w:val="20"/>
              </w:rPr>
              <w:t>UNHCR-Bericht Griechenland (Aufnahmebedingungen 2024)</w:t>
            </w:r>
          </w:p>
        </w:tc>
        <w:tc>
          <w:tcPr>
            <w:tcW w:type="dxa" w:w="2268"/>
          </w:tcPr>
          <w:p>
            <w:r>
              <w:rPr>
                <w:rFonts w:ascii="Times New Roman" w:hAnsi="Times New Roman"/>
                <w:sz w:val="20"/>
              </w:rPr>
              <w:t>Bericht</w:t>
            </w:r>
          </w:p>
        </w:tc>
        <w:tc>
          <w:tcPr>
            <w:tcW w:type="dxa" w:w="2268"/>
          </w:tcPr>
          <w:p>
            <w:r>
              <w:rPr>
                <w:rFonts w:ascii="Times New Roman" w:hAnsi="Times New Roman"/>
                <w:sz w:val="20"/>
              </w:rPr>
              <w:t>Beigefügt</w:t>
            </w:r>
          </w:p>
        </w:tc>
      </w:tr>
      <w:tr>
        <w:tc>
          <w:tcPr>
            <w:tcW w:type="dxa" w:w="2268"/>
          </w:tcPr>
          <w:p>
            <w:r>
              <w:rPr>
                <w:rFonts w:ascii="Times New Roman" w:hAnsi="Times New Roman"/>
                <w:sz w:val="20"/>
              </w:rPr>
              <w:t>B10</w:t>
            </w:r>
          </w:p>
        </w:tc>
        <w:tc>
          <w:tcPr>
            <w:tcW w:type="dxa" w:w="2268"/>
          </w:tcPr>
          <w:p>
            <w:r>
              <w:rPr>
                <w:rFonts w:ascii="Times New Roman" w:hAnsi="Times New Roman"/>
                <w:sz w:val="20"/>
              </w:rPr>
              <w:t>Gutachten Religionswissenschaft (Konversion aus Islam)</w:t>
            </w:r>
          </w:p>
        </w:tc>
        <w:tc>
          <w:tcPr>
            <w:tcW w:type="dxa" w:w="2268"/>
          </w:tcPr>
          <w:p>
            <w:r>
              <w:rPr>
                <w:rFonts w:ascii="Times New Roman" w:hAnsi="Times New Roman"/>
                <w:sz w:val="20"/>
              </w:rPr>
              <w:t>Sachverständiger</w:t>
            </w:r>
          </w:p>
        </w:tc>
        <w:tc>
          <w:tcPr>
            <w:tcW w:type="dxa" w:w="2268"/>
          </w:tcPr>
          <w:p>
            <w:r>
              <w:rPr>
                <w:rFonts w:ascii="Times New Roman" w:hAnsi="Times New Roman"/>
                <w:sz w:val="20"/>
              </w:rPr>
              <w:t>Anfrage geplant</w:t>
            </w:r>
          </w:p>
        </w:tc>
      </w:tr>
      <w:tr>
        <w:tc>
          <w:tcPr>
            <w:tcW w:type="dxa" w:w="2268"/>
          </w:tcPr>
          <w:p>
            <w:r>
              <w:rPr>
                <w:rFonts w:ascii="Times New Roman" w:hAnsi="Times New Roman"/>
                <w:sz w:val="20"/>
              </w:rPr>
              <w:t>B11</w:t>
            </w:r>
          </w:p>
        </w:tc>
        <w:tc>
          <w:tcPr>
            <w:tcW w:type="dxa" w:w="2268"/>
          </w:tcPr>
          <w:p>
            <w:r>
              <w:rPr>
                <w:rFonts w:ascii="Times New Roman" w:hAnsi="Times New Roman"/>
                <w:sz w:val="20"/>
              </w:rPr>
              <w:t>Psychiatrisches Attest PTBS (Reza senior)</w:t>
            </w:r>
          </w:p>
        </w:tc>
        <w:tc>
          <w:tcPr>
            <w:tcW w:type="dxa" w:w="2268"/>
          </w:tcPr>
          <w:p>
            <w:r>
              <w:rPr>
                <w:rFonts w:ascii="Times New Roman" w:hAnsi="Times New Roman"/>
                <w:sz w:val="20"/>
              </w:rPr>
              <w:t>Attest</w:t>
            </w:r>
          </w:p>
        </w:tc>
        <w:tc>
          <w:tcPr>
            <w:tcW w:type="dxa" w:w="2268"/>
          </w:tcPr>
          <w:p>
            <w:r>
              <w:rPr>
                <w:rFonts w:ascii="Times New Roman" w:hAnsi="Times New Roman"/>
                <w:sz w:val="20"/>
              </w:rPr>
              <w:t>Termin gebucht</w:t>
            </w:r>
          </w:p>
        </w:tc>
      </w:tr>
    </w:tbl>
    <w:p/>
    <w:p>
      <w:pPr>
        <w:pStyle w:val="Heading2"/>
      </w:pPr>
      <w:r>
        <w:rPr>
          <w:rFonts w:ascii="Times New Roman" w:hAnsi="Times New Roman"/>
        </w:rPr>
        <w:t>5. Zur mündlichen Verhandlung</w:t>
      </w:r>
    </w:p>
    <w:p>
      <w:pPr>
        <w:jc w:val="left"/>
      </w:pPr>
      <w:r>
        <w:t>Das VG Hannover entscheidet in Asylsachen grundsätzlich durch Einzelrichter (§ 76 AsylG). Eine mündliche Verhandlung findet statt, sofern kein Urteil ohne Verhandlung (§ 101 VwGO) angestrebt wird oder beide Parteien auf Verhandlung verzichten.</w:t>
      </w:r>
    </w:p>
    <w:p>
      <w:pPr>
        <w:jc w:val="left"/>
      </w:pPr>
      <w:r>
        <w:t>Strategie: RAin Kollatz-Ahnen beantragt mündliche Verhandlung, da die Glaubhaftigkeitsprüfung von einer persönlichen Befragung der Kläger (mit qualifiziertem Dolmetscher) erheblich profitiert. Vorbereitende Mandantenschulung (Coaching) ist zu organisieren.</w:t>
      </w:r>
    </w:p>
    <w:p/>
    <w:p>
      <w:pPr>
        <w:pStyle w:val="Heading2"/>
      </w:pPr>
      <w:r>
        <w:rPr>
          <w:rFonts w:ascii="Times New Roman" w:hAnsi="Times New Roman"/>
        </w:rPr>
        <w:t>6. Prozesskostenhilfe</w:t>
      </w:r>
    </w:p>
    <w:p>
      <w:pPr>
        <w:jc w:val="left"/>
      </w:pPr>
      <w:r>
        <w:t>PKH-Antrag wird gleichzeitig mit der Klagebegründung gestellt. Wirtschaftliche Verhältnisse: Familie bezieht Leistungen nach AsylbLG; keine eigenen Mittel. PKH-Erfolgsaussicht ist bei den vorliegenden Klagegründen zu bejahen (§ 114 Abs. 1 ZPO i.V.m. § 166 VwGO).</w:t>
      </w:r>
    </w:p>
    <w:p/>
    <w:p>
      <w:pPr>
        <w:jc w:val="left"/>
      </w:pPr>
      <w:r>
        <w:rPr>
          <w:b/>
        </w:rPr>
        <w:t>Erstellt:</w:t>
      </w:r>
      <w:r>
        <w:t xml:space="preserve"> 17.04.2026, RAin V. Kollatz-Ahnen</w:t>
      </w:r>
    </w:p>
    <w:p>
      <w:pPr>
        <w:jc w:val="left"/>
      </w:pPr>
      <w:r>
        <w:rPr>
          <w:b/>
        </w:rPr>
        <w:t>Quellen:</w:t>
      </w:r>
      <w:r>
        <w:t xml:space="preserve"> § 74 AsylG; § 42, 113 VwGO; § 3, 4 AsylG; § 60 AufenthG; § 76 AsylG; EuGH Rs. C-71/11; Dublin-III-VO Art. 11, 16; § 114 ZPO</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Hannover</w:t>
    </w:r>
  </w:p>
  <w:p>
    <w:pPr>
      <w:jc w:val="left"/>
      <w:pBdr>
        <w:bottom w:val="single" w:sz="6" w:space="2" w:color="3B3F45"/>
      </w:pBdr>
    </w:pPr>
    <w:r>
      <w:rPr>
        <w:rFonts w:ascii="Times New Roman" w:hAnsi="Times New Roman"/>
        <w:color w:val="6B6B66"/>
        <w:sz w:val="16"/>
      </w:rPr>
      <w:t>Postfach 906, 30009 Hannover · 4 A 4188/26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