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 AsylbLG-Kürzung § 1a und Beratungshilfe</w:t>
      </w:r>
    </w:p>
    <w:p>
      <w:pPr>
        <w:jc w:val="left"/>
      </w:pPr>
      <w:r>
        <w:rPr>
          <w:b/>
        </w:rPr>
        <w:t>Aktenzeichen Beratungshilfe:</w:t>
      </w:r>
      <w:r>
        <w:t xml:space="preserve"> AG Hannover 100 AR 22/26</w:t>
      </w:r>
    </w:p>
    <w:p>
      <w:pPr>
        <w:jc w:val="left"/>
      </w:pPr>
      <w:r>
        <w:rPr>
          <w:b/>
        </w:rPr>
        <w:t>Behörde:</w:t>
      </w:r>
      <w:r>
        <w:t xml:space="preserve"> Stadt Hannover, Fachbereich Soziales (zuständig für AsylbLG-Leistungen)</w:t>
      </w:r>
    </w:p>
    <w:p>
      <w:pPr>
        <w:jc w:val="left"/>
      </w:pPr>
      <w:r>
        <w:rPr>
          <w:b/>
        </w:rPr>
        <w:t>Kürzungsbescheid:</w:t>
      </w:r>
      <w:r>
        <w:t xml:space="preserve"> 15.02.2026</w:t>
      </w:r>
    </w:p>
    <w:p>
      <w:pPr>
        <w:jc w:val="left"/>
      </w:pPr>
      <w:r>
        <w:rPr>
          <w:b/>
        </w:rPr>
        <w:t>Stand:</w:t>
      </w:r>
      <w:r>
        <w:t xml:space="preserve"> 20.04.2026</w:t>
      </w:r>
    </w:p>
    <w:p/>
    <w:p>
      <w:pPr>
        <w:pStyle w:val="Heading2"/>
      </w:pPr>
      <w:r>
        <w:rPr>
          <w:rFonts w:ascii="Times New Roman" w:hAnsi="Times New Roman"/>
        </w:rPr>
        <w:t>1. Sachverhalt — Kürzungsbescheid</w:t>
      </w:r>
    </w:p>
    <w:p>
      <w:pPr>
        <w:jc w:val="left"/>
      </w:pPr>
      <w:r>
        <w:t>Die Stadt Hannover (Fachbereich Soziales) hat mit Bescheid vom 15.02.2026 die Grundleistungen der Familie Amiri-Hosseini nach § 1a Abs. 2 AsylbLG auf das „physische Existenzminimum" gekürzt. Begründung der Behörde:</w:t>
      </w:r>
    </w:p>
    <w:p>
      <w:pPr>
        <w:ind w:left="567"/>
      </w:pPr>
      <w:r>
        <w:rPr>
          <w:i/>
        </w:rPr>
        <w:t>„Die Leistungsberechtigten haben ihre Mitwirkungspflichten nach § 15 AsylG verletzt, indem sie keine vollständigen Reisedokumente vorlegten und die Herkunft von Reisemitteln nicht offenlegten."</w:t>
      </w:r>
    </w:p>
    <w:p>
      <w:pPr>
        <w:jc w:val="left"/>
      </w:pPr>
      <w:r>
        <w:t>Konkret beanstandet wurden:</w:t>
      </w:r>
    </w:p>
    <w:p>
      <w:pPr>
        <w:pStyle w:val="ListNumber"/>
      </w:pPr>
      <w:r>
        <w:t>Fehlender iranischer Reisepass (Shirin und Kinder; Rezas Pass ist gefälscht — Strafverfahren läuft)</w:t>
      </w:r>
    </w:p>
    <w:p>
      <w:pPr>
        <w:pStyle w:val="ListNumber"/>
      </w:pPr>
      <w:r>
        <w:t>Unterlassene Angabe des Fluchtwegs in der BAMF-Anhörung (nach Auffassung der Behörde)</w:t>
      </w:r>
    </w:p>
    <w:p>
      <w:pPr>
        <w:pStyle w:val="ListNumber"/>
      </w:pPr>
      <w:r>
        <w:t>Keine Offenlegung, wer die Schleuser bezahlt hat</w:t>
      </w:r>
    </w:p>
    <w:p>
      <w:pPr>
        <w:jc w:val="left"/>
      </w:pPr>
      <w:r>
        <w:t>Die Kürzung bewirkt eine Reduzierung der monatlichen Leistungen um ca. 30% gegenüber dem Grundbetrag nach § 3 AsylbLG.</w:t>
      </w:r>
    </w:p>
    <w:p/>
    <w:p>
      <w:pPr>
        <w:pStyle w:val="Heading2"/>
      </w:pPr>
      <w:r>
        <w:rPr>
          <w:rFonts w:ascii="Times New Roman" w:hAnsi="Times New Roman"/>
        </w:rPr>
        <w:t>2. Rechtliche Einordnung — § 1a AsylbLG</w:t>
      </w:r>
    </w:p>
    <w:p>
      <w:pPr>
        <w:jc w:val="left"/>
      </w:pPr>
      <w:r>
        <w:t>§ 1a Abs. 2 AsylbLG erlaubt eine Leistungskürzung, wenn der Leistungsberechtigte sein Abschiebungshindernis selbst herbeigeführt hat oder bestehende Mitwirkungspflichten verletzt. Die Kürzung setzt voraus:</w:t>
      </w:r>
    </w:p>
    <w:p>
      <w:pPr>
        <w:pStyle w:val="ListNumber"/>
      </w:pPr>
      <w:r>
        <w:t>Eine konkrete Mitwirkungspflichtverletzung (nicht nur allgemeines Misstrauen)</w:t>
      </w:r>
    </w:p>
    <w:p>
      <w:pPr>
        <w:pStyle w:val="ListNumber"/>
      </w:pPr>
      <w:r>
        <w:t>Kausalität zwischen Pflichtverletzung und Schutzgewährungsverweigerung</w:t>
      </w:r>
    </w:p>
    <w:p>
      <w:pPr>
        <w:pStyle w:val="ListNumber"/>
      </w:pPr>
      <w:r>
        <w:t>Verhältnismäßigkeit</w:t>
      </w:r>
    </w:p>
    <w:p>
      <w:pPr>
        <w:pStyle w:val="Heading3"/>
      </w:pPr>
      <w:r>
        <w:rPr>
          <w:rFonts w:ascii="Times New Roman" w:hAnsi="Times New Roman"/>
        </w:rPr>
        <w:t>2.1 Fehlende Reisedokumente</w:t>
      </w:r>
    </w:p>
    <w:p>
      <w:pPr>
        <w:jc w:val="left"/>
      </w:pPr>
      <w:r>
        <w:t>Shirin Hosseini-Tabrizi und die Kinder haben keine Pässe, weil:</w:t>
      </w:r>
    </w:p>
    <w:p>
      <w:pPr>
        <w:pStyle w:val="ListBullet"/>
      </w:pPr>
      <w:r>
        <w:t>Sie aus dem Iran irregulär ausgereist sind (keine Möglichkeit, offizielle Pässe zu behalten)</w:t>
      </w:r>
    </w:p>
    <w:p>
      <w:pPr>
        <w:pStyle w:val="ListBullet"/>
      </w:pPr>
      <w:r>
        <w:t>Iranische Behörden die Reisepässe im Rahmen der Überwachung eingezogen hatten (laut Mandantenschilderung)</w:t>
      </w:r>
    </w:p>
    <w:p>
      <w:pPr>
        <w:pStyle w:val="ListBullet"/>
      </w:pPr>
      <w:r>
        <w:t>Reza jr. hat nie einen Pass besessen (Geburtsort Griechenland, keine Beurkundung)</w:t>
      </w:r>
    </w:p>
    <w:p>
      <w:pPr>
        <w:jc w:val="left"/>
      </w:pPr>
      <w:r>
        <w:t>Das Bundessozialgericht (BSG, Urt. v. 17.06.2008 — B 8/9b AY 1/07 R) hat klargestellt, dass eine Kürzung nach § 1a AsylbLG nur erfolgen darf, wenn die Pflichtverletzung kausal für die Unmöglichkeit der Rückkehr ist und wenn die Person überhaupt in der Lage war, die Pflicht zu erfüllen.</w:t>
      </w:r>
    </w:p>
    <w:p>
      <w:pPr>
        <w:jc w:val="left"/>
      </w:pPr>
      <w:r>
        <w:t>Im vorliegenden Fall ist die Beschaffung iranischer Pässe für Personen, gegen die ein IRGC-Haftbefehl vorliegt, faktisch unmöglich und würde zur Selbstanzeige bei den Verfolgern führen.</w:t>
      </w:r>
    </w:p>
    <w:p>
      <w:pPr>
        <w:pStyle w:val="Heading3"/>
      </w:pPr>
      <w:r>
        <w:rPr>
          <w:rFonts w:ascii="Times New Roman" w:hAnsi="Times New Roman"/>
        </w:rPr>
        <w:t>2.2 Nicht offengelegter Fluchtweg</w:t>
      </w:r>
    </w:p>
    <w:p>
      <w:pPr>
        <w:jc w:val="left"/>
      </w:pPr>
      <w:r>
        <w:t>Reza Amiri hat seinen Fluchtweg in der BAMF-Anhörung nicht vollständig offenbart (aus Angst vor Konsequenzen für Schleuser-Kontakte, die im Iran verbliebene Verwandte schützen sollen). Dies ist eine Mitwirkungspflichtverletzung i.S.v. § 15 AsylG, rechtfertigt aber nach h.M. keine AsylbLG-Kürzung, da § 1a AsylbLG auf die Verhinderung der Abschiebung abstellt, nicht auf Informationspflichten im Asylverfahren.</w:t>
      </w:r>
    </w:p>
    <w:p>
      <w:pPr>
        <w:pStyle w:val="Heading3"/>
      </w:pPr>
      <w:r>
        <w:rPr>
          <w:rFonts w:ascii="Times New Roman" w:hAnsi="Times New Roman"/>
        </w:rPr>
        <w:t>2.3 Verhältnismäßigkeit</w:t>
      </w:r>
    </w:p>
    <w:p>
      <w:pPr>
        <w:jc w:val="left"/>
      </w:pPr>
      <w:r>
        <w:t>Eine Kürzung um 30% des Existenzminimums für eine siebenköpfige Familie (inkl. Säugling mit schwerem Herzleiden und fünf minderjährige Kinder) ist unverhältnismäßig. Das Bundesverfassungsgericht hat in seinem Grundsatzurteil zur Menschenwürde im Asylbewerberleistungsrecht (BVerfG, Urt. v. 18.07.2012 — 1 BvL 10/10) betont, dass das Existenzminimum unantastbar ist. Kürzungen, die das physische Existenzminimum unterschreiten, sind verfassungswidrig.</w:t>
      </w:r>
    </w:p>
    <w:p/>
    <w:p>
      <w:pPr>
        <w:pStyle w:val="Heading2"/>
      </w:pPr>
      <w:r>
        <w:rPr>
          <w:rFonts w:ascii="Times New Roman" w:hAnsi="Times New Roman"/>
        </w:rPr>
        <w:t>3. Widerspruch und Beratungshilfe</w:t>
      </w:r>
    </w:p>
    <w:p>
      <w:pPr>
        <w:pStyle w:val="Heading3"/>
      </w:pPr>
      <w:r>
        <w:rPr>
          <w:rFonts w:ascii="Times New Roman" w:hAnsi="Times New Roman"/>
        </w:rPr>
        <w:t>3.1 Widerspruch</w:t>
      </w:r>
    </w:p>
    <w:p>
      <w:pPr>
        <w:jc w:val="left"/>
      </w:pPr>
      <w:r>
        <w:t>Gegen den Kürzungsbescheid vom 15.02.2026 hat die Caritas-Beratung am 28.02.2026 Widerspruch eingelegt. Der Widerspruch wurde mit Bescheid vom 20.03.2026 zurückgewiesen. Klage vor dem Sozialgericht Hannover ist zu prüfen.</w:t>
      </w:r>
    </w:p>
    <w:p>
      <w:pPr>
        <w:pStyle w:val="Heading3"/>
      </w:pPr>
      <w:r>
        <w:rPr>
          <w:rFonts w:ascii="Times New Roman" w:hAnsi="Times New Roman"/>
        </w:rPr>
        <w:t>3.2 Beratungshilfe AG Hannover 100 AR 22/26</w:t>
      </w:r>
    </w:p>
    <w:p>
      <w:pPr>
        <w:jc w:val="left"/>
      </w:pPr>
      <w:r>
        <w:t>RAin Kollatz-Ahnen hat am 07.04.2026 beim Amtsgericht Hannover Beratungshilfe nach § 1 Beratungshilfegesetz (BerHG) beantragt. Das AG Hannover hat mit Bescheid vom 14.04.2026 (100 AR 22/26) Beratungshilfe für folgende Angelegenheiten bewilligt:</w:t>
      </w:r>
    </w:p>
    <w:p>
      <w:pPr>
        <w:pStyle w:val="ListBullet"/>
      </w:pPr>
      <w:r>
        <w:t>Widerspruchsverfahren AsylbLG</w:t>
      </w:r>
    </w:p>
    <w:p>
      <w:pPr>
        <w:pStyle w:val="ListBullet"/>
      </w:pPr>
      <w:r>
        <w:t>Beratung zur Schulpflicht Yasmin</w:t>
      </w:r>
    </w:p>
    <w:p>
      <w:pPr>
        <w:pStyle w:val="ListBullet"/>
      </w:pPr>
      <w:r>
        <w:t>Allgemeine ausländerrechtliche Beratung</w:t>
      </w:r>
    </w:p>
    <w:p>
      <w:pPr>
        <w:jc w:val="left"/>
      </w:pPr>
      <w:r>
        <w:t>Nicht bewilligt wurde: Beratungshilfe für die Asylklage (diese fällt unter PKH, nicht Beratungshilfe).</w:t>
      </w:r>
    </w:p>
    <w:p/>
    <w:p>
      <w:pPr>
        <w:pStyle w:val="Heading2"/>
      </w:pPr>
      <w:r>
        <w:rPr>
          <w:rFonts w:ascii="Times New Roman" w:hAnsi="Times New Roman"/>
        </w:rPr>
        <w:t>4. Sozialhilferechtliche Analyse — Leistungshöhe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Leistungsart</w:t>
            </w:r>
          </w:p>
        </w:tc>
        <w:tc>
          <w:tcPr>
            <w:tcW w:type="dxa" w:w="3024"/>
          </w:tcPr>
          <w:p>
            <w:r>
              <w:rPr>
                <w:rFonts w:ascii="Times New Roman" w:hAnsi="Times New Roman"/>
                <w:b/>
                <w:sz w:val="20"/>
              </w:rPr>
              <w:t>Regelleistung § 3 AsylbLG</w:t>
            </w:r>
          </w:p>
        </w:tc>
        <w:tc>
          <w:tcPr>
            <w:tcW w:type="dxa" w:w="3024"/>
          </w:tcPr>
          <w:p>
            <w:r>
              <w:rPr>
                <w:rFonts w:ascii="Times New Roman" w:hAnsi="Times New Roman"/>
                <w:b/>
                <w:sz w:val="20"/>
              </w:rPr>
              <w:t>Gekürzter Betrag § 1a AsylbLG</w:t>
            </w:r>
          </w:p>
        </w:tc>
      </w:tr>
      <w:tr>
        <w:tc>
          <w:tcPr>
            <w:tcW w:type="dxa" w:w="3024"/>
          </w:tcPr>
          <w:p>
            <w:r>
              <w:rPr>
                <w:rFonts w:ascii="Times New Roman" w:hAnsi="Times New Roman"/>
                <w:sz w:val="20"/>
              </w:rPr>
              <w:t>Reza Amiri (Haushaltsvorstand)</w:t>
            </w:r>
          </w:p>
        </w:tc>
        <w:tc>
          <w:tcPr>
            <w:tcW w:type="dxa" w:w="3024"/>
          </w:tcPr>
          <w:p>
            <w:r>
              <w:rPr>
                <w:rFonts w:ascii="Times New Roman" w:hAnsi="Times New Roman"/>
                <w:sz w:val="20"/>
              </w:rPr>
              <w:t>215 EUR / Monat</w:t>
            </w:r>
          </w:p>
        </w:tc>
        <w:tc>
          <w:tcPr>
            <w:tcW w:type="dxa" w:w="3024"/>
          </w:tcPr>
          <w:p>
            <w:r>
              <w:rPr>
                <w:rFonts w:ascii="Times New Roman" w:hAnsi="Times New Roman"/>
                <w:sz w:val="20"/>
              </w:rPr>
              <w:t>150 EUR / Monat</w:t>
            </w:r>
          </w:p>
        </w:tc>
      </w:tr>
      <w:tr>
        <w:tc>
          <w:tcPr>
            <w:tcW w:type="dxa" w:w="3024"/>
          </w:tcPr>
          <w:p>
            <w:r>
              <w:rPr>
                <w:rFonts w:ascii="Times New Roman" w:hAnsi="Times New Roman"/>
                <w:sz w:val="20"/>
              </w:rPr>
              <w:t>Shirin Hosseini-Tabrizi</w:t>
            </w:r>
          </w:p>
        </w:tc>
        <w:tc>
          <w:tcPr>
            <w:tcW w:type="dxa" w:w="3024"/>
          </w:tcPr>
          <w:p>
            <w:r>
              <w:rPr>
                <w:rFonts w:ascii="Times New Roman" w:hAnsi="Times New Roman"/>
                <w:sz w:val="20"/>
              </w:rPr>
              <w:t>193 EUR / Monat</w:t>
            </w:r>
          </w:p>
        </w:tc>
        <w:tc>
          <w:tcPr>
            <w:tcW w:type="dxa" w:w="3024"/>
          </w:tcPr>
          <w:p>
            <w:r>
              <w:rPr>
                <w:rFonts w:ascii="Times New Roman" w:hAnsi="Times New Roman"/>
                <w:sz w:val="20"/>
              </w:rPr>
              <w:t>135 EUR / Monat</w:t>
            </w:r>
          </w:p>
        </w:tc>
      </w:tr>
      <w:tr>
        <w:tc>
          <w:tcPr>
            <w:tcW w:type="dxa" w:w="3024"/>
          </w:tcPr>
          <w:p>
            <w:r>
              <w:rPr>
                <w:rFonts w:ascii="Times New Roman" w:hAnsi="Times New Roman"/>
                <w:sz w:val="20"/>
              </w:rPr>
              <w:t>Darius (14)</w:t>
            </w:r>
          </w:p>
        </w:tc>
        <w:tc>
          <w:tcPr>
            <w:tcW w:type="dxa" w:w="3024"/>
          </w:tcPr>
          <w:p>
            <w:r>
              <w:rPr>
                <w:rFonts w:ascii="Times New Roman" w:hAnsi="Times New Roman"/>
                <w:sz w:val="20"/>
              </w:rPr>
              <w:t>193 EUR / Monat</w:t>
            </w:r>
          </w:p>
        </w:tc>
        <w:tc>
          <w:tcPr>
            <w:tcW w:type="dxa" w:w="3024"/>
          </w:tcPr>
          <w:p>
            <w:r>
              <w:rPr>
                <w:rFonts w:ascii="Times New Roman" w:hAnsi="Times New Roman"/>
                <w:sz w:val="20"/>
              </w:rPr>
              <w:t>135 EUR / Monat</w:t>
            </w:r>
          </w:p>
        </w:tc>
      </w:tr>
      <w:tr>
        <w:tc>
          <w:tcPr>
            <w:tcW w:type="dxa" w:w="3024"/>
          </w:tcPr>
          <w:p>
            <w:r>
              <w:rPr>
                <w:rFonts w:ascii="Times New Roman" w:hAnsi="Times New Roman"/>
                <w:sz w:val="20"/>
              </w:rPr>
              <w:t>Yasmin (11)</w:t>
            </w:r>
          </w:p>
        </w:tc>
        <w:tc>
          <w:tcPr>
            <w:tcW w:type="dxa" w:w="3024"/>
          </w:tcPr>
          <w:p>
            <w:r>
              <w:rPr>
                <w:rFonts w:ascii="Times New Roman" w:hAnsi="Times New Roman"/>
                <w:sz w:val="20"/>
              </w:rPr>
              <w:t>167 EUR / Monat</w:t>
            </w:r>
          </w:p>
        </w:tc>
        <w:tc>
          <w:tcPr>
            <w:tcW w:type="dxa" w:w="3024"/>
          </w:tcPr>
          <w:p>
            <w:r>
              <w:rPr>
                <w:rFonts w:ascii="Times New Roman" w:hAnsi="Times New Roman"/>
                <w:sz w:val="20"/>
              </w:rPr>
              <w:t>117 EUR / Monat</w:t>
            </w:r>
          </w:p>
        </w:tc>
      </w:tr>
      <w:tr>
        <w:tc>
          <w:tcPr>
            <w:tcW w:type="dxa" w:w="3024"/>
          </w:tcPr>
          <w:p>
            <w:r>
              <w:rPr>
                <w:rFonts w:ascii="Times New Roman" w:hAnsi="Times New Roman"/>
                <w:sz w:val="20"/>
              </w:rPr>
              <w:t>Bahar (6)</w:t>
            </w:r>
          </w:p>
        </w:tc>
        <w:tc>
          <w:tcPr>
            <w:tcW w:type="dxa" w:w="3024"/>
          </w:tcPr>
          <w:p>
            <w:r>
              <w:rPr>
                <w:rFonts w:ascii="Times New Roman" w:hAnsi="Times New Roman"/>
                <w:sz w:val="20"/>
              </w:rPr>
              <w:t>167 EUR / Monat</w:t>
            </w:r>
          </w:p>
        </w:tc>
        <w:tc>
          <w:tcPr>
            <w:tcW w:type="dxa" w:w="3024"/>
          </w:tcPr>
          <w:p>
            <w:r>
              <w:rPr>
                <w:rFonts w:ascii="Times New Roman" w:hAnsi="Times New Roman"/>
                <w:sz w:val="20"/>
              </w:rPr>
              <w:t>117 EUR / Monat</w:t>
            </w:r>
          </w:p>
        </w:tc>
      </w:tr>
      <w:tr>
        <w:tc>
          <w:tcPr>
            <w:tcW w:type="dxa" w:w="3024"/>
          </w:tcPr>
          <w:p>
            <w:r>
              <w:rPr>
                <w:rFonts w:ascii="Times New Roman" w:hAnsi="Times New Roman"/>
                <w:sz w:val="20"/>
              </w:rPr>
              <w:t>Reza jr. (18 Monate)</w:t>
            </w:r>
          </w:p>
        </w:tc>
        <w:tc>
          <w:tcPr>
            <w:tcW w:type="dxa" w:w="3024"/>
          </w:tcPr>
          <w:p>
            <w:r>
              <w:rPr>
                <w:rFonts w:ascii="Times New Roman" w:hAnsi="Times New Roman"/>
                <w:sz w:val="20"/>
              </w:rPr>
              <w:t>130 EUR / Monat</w:t>
            </w:r>
          </w:p>
        </w:tc>
        <w:tc>
          <w:tcPr>
            <w:tcW w:type="dxa" w:w="3024"/>
          </w:tcPr>
          <w:p>
            <w:r>
              <w:rPr>
                <w:rFonts w:ascii="Times New Roman" w:hAnsi="Times New Roman"/>
                <w:sz w:val="20"/>
              </w:rPr>
              <w:t>— (Kürzung ausgesetzt wegen Herzleiden)</w:t>
            </w:r>
          </w:p>
        </w:tc>
      </w:tr>
      <w:tr>
        <w:tc>
          <w:tcPr>
            <w:tcW w:type="dxa" w:w="3024"/>
          </w:tcPr>
          <w:p>
            <w:r>
              <w:rPr>
                <w:rFonts w:ascii="Times New Roman" w:hAnsi="Times New Roman"/>
                <w:b/>
                <w:sz w:val="20"/>
              </w:rPr>
              <w:t>Gesamt</w:t>
            </w:r>
          </w:p>
        </w:tc>
        <w:tc>
          <w:tcPr>
            <w:tcW w:type="dxa" w:w="3024"/>
          </w:tcPr>
          <w:p>
            <w:r>
              <w:rPr>
                <w:rFonts w:ascii="Times New Roman" w:hAnsi="Times New Roman"/>
                <w:b/>
                <w:sz w:val="20"/>
              </w:rPr>
              <w:t>ca. 1.065 EUR / Monat</w:t>
            </w:r>
          </w:p>
        </w:tc>
        <w:tc>
          <w:tcPr>
            <w:tcW w:type="dxa" w:w="3024"/>
          </w:tcPr>
          <w:p>
            <w:r>
              <w:rPr>
                <w:rFonts w:ascii="Times New Roman" w:hAnsi="Times New Roman"/>
                <w:b/>
                <w:sz w:val="20"/>
              </w:rPr>
              <w:t>ca. 654 EUR / Monat</w:t>
            </w:r>
          </w:p>
        </w:tc>
      </w:tr>
    </w:tbl>
    <w:p>
      <w:pPr>
        <w:jc w:val="left"/>
      </w:pPr>
      <w:r>
        <w:t>Die Kürzung trifft die Familie hart; hinzu kommen Sachleistungen (Unterkunft, Krankenschein). Beratungshilfe und ggf. Eilantrag beim Sozialgericht sind dringend geboten.</w:t>
      </w:r>
    </w:p>
    <w:p/>
    <w:p>
      <w:pPr>
        <w:pStyle w:val="Heading2"/>
      </w:pPr>
      <w:r>
        <w:rPr>
          <w:rFonts w:ascii="Times New Roman" w:hAnsi="Times New Roman"/>
        </w:rPr>
        <w:t>5. Klage vor Sozialgericht Hannover</w:t>
      </w:r>
    </w:p>
    <w:p>
      <w:pPr>
        <w:jc w:val="left"/>
      </w:pPr>
      <w:r>
        <w:t>RAin Kollatz-Ahnen prüft die Erhebung einer Klage vor dem Sozialgericht Hannover auf Aufhebung des Kürzungsbescheids. Alternativ kommt ein Antrag auf einstweiligen Rechtsschutz nach § 86b SGG in Betracht.</w:t>
      </w:r>
    </w:p>
    <w:p/>
    <w:p>
      <w:pPr>
        <w:jc w:val="left"/>
      </w:pPr>
      <w:r>
        <w:rPr>
          <w:b/>
        </w:rPr>
        <w:t>Erstellt:</w:t>
      </w:r>
      <w:r>
        <w:t xml:space="preserve"> 20.04.2026, RAin V. Kollatz-Ahnen / Caritas-Beraterin A. Schröter-Bauer</w:t>
      </w:r>
    </w:p>
    <w:p>
      <w:pPr>
        <w:jc w:val="left"/>
      </w:pPr>
      <w:r>
        <w:rPr>
          <w:b/>
        </w:rPr>
        <w:t>Quellen:</w:t>
      </w:r>
      <w:r>
        <w:t xml:space="preserve"> § 1a AsylbLG; § 3 AsylbLG; § 15 AsylG; BVerfG, Urt. v. 18.07.2012 — 1 BvL 10/10; BSG, Urt. v. 17.06.2008 — B 8/9b AY 1/07 R; § 1 BerHG; § 86b SGG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Behörde: Stadt Hannover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Behörde: Stadt Hannover</w:t>
    </w:r>
  </w:p>
  <w:p>
    <w:pPr>
      <w:jc w:val="left"/>
      <w:pBdr>
        <w:bottom w:val="single" w:sz="6" w:space="2" w:color="3B3F45"/>
      </w:pBdr>
    </w:pPr>
    <w:r>
      <w:rPr>
        <w:rFonts w:ascii="Times New Roman" w:hAnsi="Times New Roman"/>
        <w:color w:val="6B6B66"/>
        <w:sz w:val="16"/>
      </w:rPr>
      <w:t>Fachbereich Soziales (zuständig für AsylbLG-Leistungen) · Aktenzeichen Beratungshilfe: AG Hannover 100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