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Finanzamt Antrag und Festsetzung</w:t>
      </w:r>
    </w:p>
    <w:p>
      <w:pPr>
        <w:pStyle w:val="Heading2"/>
      </w:pPr>
      <w:r>
        <w:rPr>
          <w:rFonts w:ascii="Times New Roman" w:hAnsi="Times New Roman"/>
        </w:rPr>
        <w:t>Zweistufigkeit</w:t>
      </w:r>
    </w:p>
    <w:p>
      <w:pPr>
        <w:jc w:val="left"/>
      </w:pPr>
      <w:r>
        <w:t>Die Akte muss streng zwischen BSFZ-Bescheinigung und Festsetzung der Forschungszulage durch das Finanzamt unterscheiden. Die technische Bescheinigung ersetzt nicht die steuerliche Prüfung der Bemessungsgrundlage. Umgekehrt darf das Finanzamt den technischen Kern nicht ohne Weiteres umdeuten, muss aber Stunden, Kosten, Kumulierung und Anspruchsberechtigung prüfen.</w:t>
      </w:r>
    </w:p>
    <w:p>
      <w:pPr>
        <w:pStyle w:val="Heading2"/>
      </w:pPr>
      <w:r>
        <w:rPr>
          <w:rFonts w:ascii="Times New Roman" w:hAnsi="Times New Roman"/>
        </w:rPr>
        <w:t>ELSTER-Entwurfsstand</w:t>
      </w:r>
    </w:p>
    <w:p>
      <w:pPr>
        <w:jc w:val="left"/>
      </w:pPr>
      <w:r>
        <w:t>Der Steuerberater hat den Antrag für 2024 vorbereitet, aber 2025 und 2026 noch offen gelassen. In der Entwurfsdatei fehlen:</w:t>
      </w:r>
    </w:p>
    <w:p>
      <w:pPr>
        <w:pStyle w:val="ListBullet"/>
      </w:pPr>
      <w:r>
        <w:t>Abzug nicht förderfähiger AP6-Stunden;</w:t>
      </w:r>
    </w:p>
    <w:p>
      <w:pPr>
        <w:pStyle w:val="ListBullet"/>
      </w:pPr>
      <w:r>
        <w:t>getrennte Ausweisung Auftragsforschung Lissabon;</w:t>
      </w:r>
    </w:p>
    <w:p>
      <w:pPr>
        <w:pStyle w:val="ListBullet"/>
      </w:pPr>
      <w:r>
        <w:t>Erklärung verbundene Unternehmen nach Investoreneinstieg;</w:t>
      </w:r>
    </w:p>
    <w:p>
      <w:pPr>
        <w:pStyle w:val="ListBullet"/>
      </w:pPr>
      <w:r>
        <w:t>Fördermittelabgrenzung ZIM;</w:t>
      </w:r>
    </w:p>
    <w:p>
      <w:pPr>
        <w:pStyle w:val="ListBullet"/>
      </w:pPr>
      <w:r>
        <w:t>Verweis auf aktualisierte BSFZ-Antwort.</w:t>
      </w:r>
    </w:p>
    <w:p>
      <w:pPr>
        <w:pStyle w:val="Heading2"/>
      </w:pPr>
      <w:r>
        <w:rPr>
          <w:rFonts w:ascii="Times New Roman" w:hAnsi="Times New Roman"/>
        </w:rPr>
        <w:t>Auszahlung und Liquidität</w:t>
      </w:r>
    </w:p>
    <w:p>
      <w:pPr>
        <w:jc w:val="left"/>
      </w:pPr>
      <w:r>
        <w:t>Die Forschungszulage wird auf Einkommen- oder Körperschaftsteuer angerechnet; ein Überschuss wird erstattet. Das ist besonders in Verlustjahren liquiditätsrelevant. Falsch wäre die interne Aussage aus dem Slack-Thread, die Zulage werde "nur in der Insolvenz richtig ausgezahlt". Der Insolvenzbezug betrifft eher Anspruchsverwaltung, Masse, Aufrechnung und Timing, nicht die Existenz des Erstattungsmechanismus.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Finanzamt Antrag und Festsetzung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Finanzamt Antrag und Festsetzung</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