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01_Bilanz_HGB_31-12-2025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Bilanz 31.12.2025</w:t>
      </w:r>
    </w:p>
    <w:p>
      <w:pPr>
        <w:pStyle w:val="Heading3"/>
      </w:pPr>
      <w:r>
        <w:rPr>
          <w:rFonts w:ascii="Times New Roman" w:hAnsi="Times New Roman"/>
        </w:rPr>
        <w:t>BILANZ der Paragrafix GmbH — Stichtag 31. Dezember 2025</w:t>
      </w:r>
    </w:p>
    <w:p>
      <w:pPr>
        <w:jc w:val="left"/>
      </w:pPr>
      <w:r>
        <w:t>_Handelsregister: HRB 247841 B — Amtsgericht Charlottenburg — Stammkapital: 25.000,00 EUR — Sitz: Berlin_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AKTIVA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31.12.2025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Spalte 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PASSIVA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31.12.2025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A.  ANLAGEVERMÖGEN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A.  EIGENKAPITAL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I.  Immaterielle Vermögensgegenstände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I.    Gezeichnetes Kapital (Stammkapital)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Aktivierte Software-Entwicklungsleistungen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412.000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II.   Kapitalrücklage (Series-A Investitionen, netto)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7.940.000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II.  Sachanlagen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III.  Verlustvortrag (kumuliert bis 31.12.2024)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-3.872.000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Büroausstattung und IT-Geräte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87.000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IV.   Jahresfehlbetrag 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-2.418.000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Summe Anlagevermögen (A)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499.000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Summe Eigenkapital (A)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1.675.000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B.  UMLAUFVERMÖGEN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B.  RÜCKSTELLUNGEN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I.  Forderungen aus Lieferungen und Leistungen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218.000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Sonstige Rückstellungen (Urlaub, Überstunden, Jahresabschluss)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142.000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II.  Guthaben bei Kreditinstituten (Commerzbank, DB, Penta, Wise)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2.890.000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Summe Rückstellungen (B)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142.000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III. Sonstige Umlaufvermögensgegenstände (Prepaid, Anzahlungen)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31.000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  Sonstige Verbindlichkeiten (Steuer, Sozialabgaben)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Summe Umlaufvermögen (B)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3.139.000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C.  VERBINDLICHKEITEN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  Verbindlichkeiten aus Lieferungen und Leistungen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178.000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BILANZSUMME AKTIVA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3.638.000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BILANZSUMME PASSIVA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2.036.000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Summe Verbindlichkeiten (C)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219.000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Kontrollzeile: Aktiva – Passiva (soll = 0,00 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1.602.000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Anhang Going Concern</w:t>
      </w:r>
    </w:p>
    <w:p>
      <w:pPr>
        <w:pStyle w:val="Heading3"/>
      </w:pPr>
      <w:r>
        <w:rPr>
          <w:rFonts w:ascii="Times New Roman" w:hAnsi="Times New Roman"/>
        </w:rPr>
        <w:t>ANHANG — HINWEIS ZUR UNTERNEHMENSFORTFÜHRUNG (GOING CONCERN)</w:t>
      </w:r>
    </w:p>
    <w:p>
      <w:pPr>
        <w:jc w:val="left"/>
      </w:pPr>
      <w:r>
        <w:t>_Paragrafix GmbH, Heidestraße 78, 10557 Berlin — HRB 247841 B AG Charlottenburg — Geschäftsjahr 2025_</w:t>
      </w:r>
    </w:p>
    <w:p>
      <w:pPr>
        <w:jc w:val="left"/>
      </w:pPr>
      <w:r>
        <w:t>_§ 252 Abs. 1 Nr. 2 HGB — Grundsatz der Unternehmensfortführung_</w:t>
      </w:r>
    </w:p>
    <w:p>
      <w:pPr>
        <w:jc w:val="left"/>
      </w:pPr>
      <w:r>
        <w:t>_Die Geschäftsführung hat bei der Aufstellung des Jahresabschlusses zum 31. Dezember 2025 die Fortführung des_</w:t>
      </w:r>
    </w:p>
    <w:p>
      <w:pPr>
        <w:jc w:val="left"/>
      </w:pPr>
      <w:r>
        <w:t>_Unternehmens gemäß § 252 Abs. 1 Nr. 2 HGB eingehend geprüft._</w:t>
      </w:r>
    </w:p>
    <w:p>
      <w:pPr>
        <w:jc w:val="left"/>
      </w:pPr>
      <w:r>
        <w:t>_Wesentliche Parameter der Fortbestehensprognose:_</w:t>
      </w:r>
    </w:p>
    <w:p>
      <w:pPr>
        <w:jc w:val="left"/>
      </w:pPr>
      <w:r>
        <w:t>_1.  Bankguthaben per 31.12.2025: 2.890.000,00 EUR (Commerzbank, Deutsche Bank, Penta, Wise)_</w:t>
      </w:r>
    </w:p>
    <w:p>
      <w:pPr>
        <w:jc w:val="left"/>
      </w:pPr>
      <w:r>
        <w:t>_2.  Monthly Recurring Revenue (MRR) per 31.12.2025: ca. 166.600,00 EUR; ARR ca. 2.000.000,00 EUR_</w:t>
      </w:r>
    </w:p>
    <w:p>
      <w:pPr>
        <w:jc w:val="left"/>
      </w:pPr>
      <w:r>
        <w:t>_3.  Monatlicher Mittelabfluss (Burn-Rate): ca. 380.000,00 EUR / Monat_</w:t>
      </w:r>
    </w:p>
    <w:p>
      <w:pPr>
        <w:jc w:val="left"/>
      </w:pPr>
      <w:r>
        <w:t>_4.  Rechnerischer Cash-Runway ohne weitere Finanzierung: ca. 7–8 Monate ab 31.12.2025_</w:t>
      </w:r>
    </w:p>
    <w:p>
      <w:pPr>
        <w:jc w:val="left"/>
      </w:pPr>
      <w:r>
        <w:t>_5.  Series-A geschlossen März 2025; Tranche 2 (3.000.000,00 EUR) an Meilensteine gebunden_</w:t>
      </w:r>
    </w:p>
    <w:p>
      <w:pPr>
        <w:jc w:val="left"/>
      </w:pPr>
      <w:r>
        <w:t>_(ARR 2,5 Mio. EUR bis 30.06.2026 \| NRR ≥ 110 % \| Kundenzahl ≥ 180)_</w:t>
      </w:r>
    </w:p>
    <w:p>
      <w:pPr>
        <w:jc w:val="left"/>
      </w:pPr>
      <w:r>
        <w:t>_6.  MoM-Wachstum: +12 % — bei Fortsetzung Meilensteine bis April 2026 erreichbar_</w:t>
      </w:r>
    </w:p>
    <w:p>
      <w:pPr>
        <w:jc w:val="left"/>
      </w:pPr>
      <w:r>
        <w:t>_Einschätzung der Geschäftsführung:_</w:t>
      </w:r>
    </w:p>
    <w:p>
      <w:pPr>
        <w:jc w:val="left"/>
      </w:pPr>
      <w:r>
        <w:t>_Unter der Annahme, dass die Tranche 2 der Series-A-Finanzierung im zweiten oder dritten Quartal 2026 ausgezahlt_</w:t>
      </w:r>
    </w:p>
    <w:p>
      <w:pPr>
        <w:jc w:val="left"/>
      </w:pPr>
      <w:r>
        <w:t>_wird, ist die Fortführung des Unternehmens für mindestens 12 Monate ab dem Aufstellungsdatum gesichert._</w:t>
      </w:r>
    </w:p>
    <w:p>
      <w:pPr>
        <w:jc w:val="left"/>
      </w:pPr>
      <w:r>
        <w:t>_Flankierend werden ein Wandeldarlehen von bis zu 1.500.000,00 EUR sowie Kostensenkungsmaßnahmen geprüft._</w:t>
      </w:r>
    </w:p>
    <w:p>
      <w:pPr>
        <w:jc w:val="left"/>
      </w:pPr>
      <w:r>
        <w:t>_⚠  RISIKOHINWEIS (§ 19 Abs. 2 InsO):_</w:t>
      </w:r>
    </w:p>
    <w:p>
      <w:pPr>
        <w:jc w:val="left"/>
      </w:pPr>
      <w:r>
        <w:t>_Sollte die Tranche 2 nicht oder wesentlich verzögert fließen, ist ab ca. August/September 2026 mit einer_</w:t>
      </w:r>
    </w:p>
    <w:p>
      <w:pPr>
        <w:jc w:val="left"/>
      </w:pPr>
      <w:r>
        <w:t>_kritischen Liquiditätssituation zu rechnen, die insolvenzrechtliche Prüfpflichten auslöst. Die Geschäftsführerin_</w:t>
      </w:r>
    </w:p>
    <w:p>
      <w:pPr>
        <w:jc w:val="left"/>
      </w:pPr>
      <w:r>
        <w:t>_hat die Steuerberaterin (KMK Berlin, Frau Steiglitz) mit einer Fortbestehensprognose nach § 19 Abs. 2 InsO_</w:t>
      </w:r>
    </w:p>
    <w:p>
      <w:pPr>
        <w:jc w:val="left"/>
      </w:pPr>
      <w:r>
        <w:t>_sowie einer 13-Wochen-Liquiditätsplanung nach § 17 InsO beauftragt._</w:t>
      </w:r>
    </w:p>
    <w:p>
      <w:pPr>
        <w:jc w:val="left"/>
      </w:pPr>
      <w:r>
        <w:t>_Berlin, den 15. März 2026_</w:t>
      </w:r>
    </w:p>
    <w:p/>
    <w:p>
      <w:pPr>
        <w:jc w:val="left"/>
      </w:pPr>
      <w:r>
        <w:t>_Dr. Carolin Vogt-Hesselbach                          Yannik Brodersen_</w:t>
      </w:r>
    </w:p>
    <w:p>
      <w:pPr>
        <w:jc w:val="left"/>
      </w:pPr>
      <w:r>
        <w:t>_Geschäftsführerin                                    Geschäftsführer_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Paragrafix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Paragrafix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