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04_Cashflow_Modell_Rollierend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Inputs</w:t>
      </w:r>
    </w:p>
    <w:p>
      <w:pPr>
        <w:pStyle w:val="Heading3"/>
      </w:pPr>
      <w:r>
        <w:rPr>
          <w:rFonts w:ascii="Times New Roman" w:hAnsi="Times New Roman"/>
        </w:rPr>
        <w:t>CASHFLOW-MODELL ROLLIEREND — Paragrafix GmbH — Eingabeparameter</w:t>
      </w:r>
    </w:p>
    <w:p>
      <w:pPr>
        <w:jc w:val="left"/>
      </w:pPr>
      <w:r>
        <w:t>_Planungshorizont: Mai 2026 – April 2027 \| Stichtag Ist-Start: 30.04.2026 \| Erstellt: 02.05.2026_</w:t>
      </w:r>
    </w:p>
    <w:p>
      <w:pPr>
        <w:jc w:val="left"/>
      </w:pPr>
      <w:r>
        <w:t>_LIQUIDITÄTSPARAMETER_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Kassenbestand 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1.870.000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EUR — tatsächlicher Cash-Bestand (Commerzbank, DB, Penta, Wise)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MRR April 2026 (Ist)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187.400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— Monthly Recurring Revenue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MoM-Wachstumsrate Umsatz (Base)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% — konservativ (war 12 %, halbe Rate für Planung)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MoM-Wachstumsrate Umsatz (Stress)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% — Stress-Szenario: halbe Base-Rate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BETRIEBSKOSTEN (MONATLICH)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Personalkosten brutto inkl. AG-Anteil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 — 28 Festangestellte + 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LLM-Tokenkosten (OpenAI 38 %, Anthropic 42 %, Mistral 20 %)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AWS Cloud eu-central-1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SaaS-Lizenzen (Linear, Notion, GitHub, Sentry, Datadog, Slack)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Gewerbemiete Heidestraße 78 + 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Steuerberatung + Rechtsberatung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Marketing und Sales (LinkedIn, Konferenzen)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Aufwendungen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USt-Vorauszahlung (Saldo 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/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FINANZIERUNGSPARAMETER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Series-A Tranche 2 — 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— wird in Aug 2026 (Base) erwartet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Series-A Tranche 2 — Stressreduktion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Anteil, um den Tranche 2 im Stress-Szenario reduziert wird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Wandeldarlehen Earlybird (möglich)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— diskutiert, noch nicht unterschrieben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 Tranche 2 Eingang (Base)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Monatsindex ab Mai = 1; Index 4 = August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 Tranche 2 Eingang (Stress)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Monatsindex; Index 7 = November 2026 (verzögert)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Base Case</w:t>
      </w:r>
    </w:p>
    <w:p>
      <w:pPr>
        <w:pStyle w:val="Heading3"/>
      </w:pPr>
      <w:r>
        <w:rPr>
          <w:rFonts w:ascii="Times New Roman" w:hAnsi="Times New Roman"/>
        </w:rPr>
        <w:t>ROLLIERENDER 12-MONATS-CASHFLOW — BASE CASE — Paragrafix GmbH</w:t>
      </w:r>
    </w:p>
    <w:p>
      <w:pPr>
        <w:jc w:val="left"/>
      </w:pPr>
      <w:r>
        <w:t>_Planungsannahme: Series-A Tranche 2 (3,0 Mio. EUR) im August 2026 erwartet \| Stand: 02.05.2026_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Mai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Jun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Jul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Aug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Sep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Okt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Nov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Dez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Jan 2027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Feb 2027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Mär 2027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Apr 2027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EINZAHLUNGEN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Abo-Umsatz (MRR, brutto)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198.644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210.562,64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223.196,40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236.588,18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250.783,47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265.830,48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281.780,31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298.687,13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316.608,36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335.604,86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355.741,15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377.085,62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Professional Services / Onboarding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Series-A Tranche 2 (Finanzierung)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3.000.000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Summe Einzahlungen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205.144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217.062,64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229.696,40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3.243.088,18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257.283,47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272.330,48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288.280,31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305.187,13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323.108,36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342.104,86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362.241,15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383.585,62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AUSZAHLUNGEN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Personalkosten brutto inkl. AG-Anteil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LLM-Tokenkosten (OpenAI, Anthropic, Mistral)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AWS Cloud (eu-central-1)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SaaS-Lizenzen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Miete Heidestraße 78 + NK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Steuerberatung + Rechtsberatung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Marketing / Sales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Sonstige Aufwendungen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USt-Vorauszahlung (Saldo)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Summe Auszahlungen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LIQUIDITÄT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1.870.000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1.695.144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1.532.206,64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1.381.903,04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4.244.991,22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4.122.274,69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4.014.605,18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3.922.885,49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3.848.072,62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3.791.180,97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3.753.285,83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3.735.526,98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Netto-Cashflow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-174.856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-162.937,36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-150.303,60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2.863.088,18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-122.716,53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-107.669,52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-91.719,69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-74.812,87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-56.891,64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-37.895,14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-17.758,85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3.585,62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Endbestand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1.695.144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1.532.206,64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1.381.903,04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4.244.991,22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4.122.274,69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4.014.605,18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3.922.885,49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3.848.072,62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3.791.180,97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3.753.285,83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3.735.526,98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3.739.112,60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Ampel-Status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Stress Case</w:t>
      </w:r>
    </w:p>
    <w:p>
      <w:pPr>
        <w:pStyle w:val="Heading3"/>
      </w:pPr>
      <w:r>
        <w:rPr>
          <w:rFonts w:ascii="Times New Roman" w:hAnsi="Times New Roman"/>
        </w:rPr>
        <w:t>ROLLIERENDER 12-MONATS-CASHFLOW — STRESS-SZENARIO — Paragrafix GmbH</w:t>
      </w:r>
    </w:p>
    <w:p>
      <w:pPr>
        <w:jc w:val="left"/>
      </w:pPr>
      <w:r>
        <w:t>_Planungsannahme: Tranche 2 auf 1,5 Mio. EUR reduziert und auf November 2026 verzögert \| Stand: 02.05.2026_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Mai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Jun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Jul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Aug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Sep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Okt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Nov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Dez 2026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Jan 2027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Feb 2027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Mär 2027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Apr 2027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EINZAHLUNGEN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Abo-Umsatz (MRR, brutto)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193.022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198.812,66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204.777,04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210.920,35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217.247,96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223.765,40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230.478,36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237.392,71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244.514,49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251.849,93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259.405,43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267.187,59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Professional Services / Onboarding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Series-A Tranche 2 (Finanzierung)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Summe Einzahlungen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199.522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205.312,66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211.277,04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217.420,35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223.747,96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230.265,40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1.736.978,36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243.892,71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251.014,49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258.349,93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265.905,43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273.687,59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AUSZAHLUNGEN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Personalkosten brutto inkl. AG-Anteil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247.000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LLM-Tokenkosten (OpenAI, Anthropic, Mistral)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AWS Cloud (eu-central-1)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SaaS-Lizenzen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Miete Heidestraße 78 + NK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18.700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Steuerberatung + Rechtsberatung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6.200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Marketing / Sales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Sonstige Aufwendungen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7.700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USt-Vorauszahlung (Saldo)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Summe Auszahlungen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LIQUIDITÄT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1.870.000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1.689.522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1.514.834,66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1.346.111,70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1.183.532,05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1.027.280,01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877.545,41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2.234.523,78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2.098.416,49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1.969.430,98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1.847.780,91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1.733.686,34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Netto-Cashflow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-180.478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-174.687,34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-168.722,96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-162.579,65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-156.252,04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-149.734,60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1.356.978,36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-136.107,29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-128.985,51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-121.650,07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-114.094,57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-106.312,41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Endbestand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1.689.522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1.514.834,66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1.346.111,70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1.183.532,05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1.027.280,01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877.545,41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2.234.523,78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2.098.416,49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1.969.430,98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1.847.780,91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1.733.686,34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1.627.373,93</w:t>
            </w:r>
          </w:p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Ampel-Status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Sensitivity</w:t>
      </w:r>
    </w:p>
    <w:p>
      <w:pPr>
        <w:pStyle w:val="Heading3"/>
      </w:pPr>
      <w:r>
        <w:rPr>
          <w:rFonts w:ascii="Times New Roman" w:hAnsi="Times New Roman"/>
        </w:rPr>
        <w:t>SENSITIVITÄTSANALYSE — Cash-Runway bei variierenden Annahmen</w:t>
      </w:r>
    </w:p>
    <w:p>
      <w:pPr>
        <w:jc w:val="left"/>
      </w:pPr>
      <w:r>
        <w:t>_Zeigt verbleibenden Cash-Bestand am 30.04.2027 unter verschiedenen Wachstums- und Finanzierungsszenarien_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Wachstum / 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Ohne Tranche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Tranche 2 1,5 Mio (Aug)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Tranche 2 3,0 Mio (Aug)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Tranche 2 3,0 Mio + Bridge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-363.200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1.136.800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2.636.800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4.136.800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127,373.93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1,627,373.93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3,127,373.93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4,627,373.93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739,112.5992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2,239,112.5992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3,739,112.5992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5,239,112.5992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1,502,064.2702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3,002,064.2702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4,502,064.2702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6,002,064.2702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2,453,255.076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3,953,255.076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5,453,255.076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6,953,255.076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