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B474D"/>
          <w:sz w:val="32"/>
          <w:szCs w:val="32"/>
        </w:rPr>
        <w:t xml:space="preserve">NON-BINDING TERM SHEET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74D"/>
          <w:sz w:val="24"/>
          <w:szCs w:val="24"/>
        </w:rPr>
        <w:t xml:space="preserve">SERIES A FINANCING — TRANCHE 2 DISBURSEMENT CONDITIONS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Paragrafix GmbH | HRB 247841 B AG Charlottenburg | Berlin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A13544"/>
          <w:sz w:val="18"/>
          <w:szCs w:val="18"/>
        </w:rPr>
        <w:t xml:space="preserve">AUSZUG / EXTRACT — Für die Fortbestehensprognose § 19 InsO relevante Abschnitte</w:t>
      </w:r>
    </w:p>
    <w:p>
      <w:pPr>
        <w:spacing w:after="200"/>
      </w:pPr>
      <w:r>
        <w:rPr>
          <w:rFonts w:ascii="Calibri" w:cs="Calibri" w:eastAsia="Calibri" w:hAnsi="Calibri"/>
          <w:color w:val="1B474D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bCs/>
          <w:color w:val="1B474D"/>
        </w:rPr>
        <w:t xml:space="preserve">1. PARTIES / PARTEIEN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</w:tblGrid>
      <w:tr>
        <w:tc>
          <w:tcPr>
            <w:tcW w:type="dxa" w:w="26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Party / Partei</w:t>
            </w:r>
          </w:p>
        </w:tc>
        <w:tc>
          <w:tcPr>
            <w:tcW w:type="dxa" w:w="55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Company / Gesellschaft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Paragrafix GmbH, Heidestraße 78, 10557 Berlin, HRB 247841 B</w:t>
            </w:r>
          </w:p>
        </w:tc>
      </w:tr>
      <w:tr>
        <w:tc>
          <w:tcPr>
            <w:tcW w:type="dxa" w:w="2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Lead Investor / Lead-Investor</w:t>
            </w:r>
          </w:p>
        </w:tc>
        <w:tc>
          <w:tcPr>
            <w:tcW w:type="dxa" w:w="5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Earlybird Venture Capital GmbH &amp; Co. KG, Ritterstraße 12, 10969 Berlin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Co-Investor 1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Cherry Ventures GmbH &amp; Co. KG, Ansbacher Str. 4, 10787 Berlin</w:t>
            </w:r>
          </w:p>
        </w:tc>
      </w:tr>
      <w:tr>
        <w:tc>
          <w:tcPr>
            <w:tcW w:type="dxa" w:w="2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Existing Angels / Bestehende Angels</w:t>
            </w:r>
          </w:p>
        </w:tc>
        <w:tc>
          <w:tcPr>
            <w:tcW w:type="dxa" w:w="5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 Business Angels (gemäß Gesellschafterliste; nicht namentlich genannt)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Counsel / Rechtsberater der Gesellschaft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Hengeler Mueller Partnerschaft von Rechtsanwälten mbB, Berlin</w:t>
            </w:r>
          </w:p>
        </w:tc>
      </w:tr>
      <w:tr>
        <w:tc>
          <w:tcPr>
            <w:tcW w:type="dxa" w:w="2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Counsel / Rechtsberater des Investors</w:t>
            </w:r>
          </w:p>
        </w:tc>
        <w:tc>
          <w:tcPr>
            <w:tcW w:type="dxa" w:w="5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Orrick, Herrington &amp; Sutcliffe LLP, Munich/Berlin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1B474D"/>
        </w:rPr>
        <w:t xml:space="preserve">2. FINANCING STRUCTURE / FINANZIERUNGSSTRUKTUR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00"/>
      </w:tblGrid>
      <w:tr>
        <w:tc>
          <w:tcPr>
            <w:tcW w:type="dxa" w:w="22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Value / Basiswert</w:t>
            </w:r>
          </w:p>
        </w:tc>
        <w:tc>
          <w:tcPr>
            <w:tcW w:type="dxa" w:w="37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 / Hinweise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Total Series A Amount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EUR 8,500,000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Bereits geclosed März 2025 / Already closed March 2025</w:t>
            </w:r>
          </w:p>
        </w:tc>
      </w:tr>
      <w:tr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Tranche 1 (paid)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EUR 5,500,000</w:t>
            </w:r>
          </w:p>
        </w:tc>
        <w:tc>
          <w:tcPr>
            <w:tcW w:type="dxa" w:w="3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Ausgezahlt: 14.03.2025 / Disbursed: 14 March 2025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Tranche 2 (conditional)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EUR 3,000,000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Ausstehend, milestoneabhängig / Outstanding, milestone-conditional</w:t>
            </w:r>
          </w:p>
        </w:tc>
      </w:tr>
      <w:tr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Pre-Money Valuation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EUR 24,000,000</w:t>
            </w:r>
          </w:p>
        </w:tc>
        <w:tc>
          <w:tcPr>
            <w:tcW w:type="dxa" w:w="3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Unverändert für Tranche 2 / Unchanged for Tranche 2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Investment Type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Equity (Stammkapitalerhöhung)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§§ 55 ff. GmbHG</w:t>
            </w:r>
          </w:p>
        </w:tc>
      </w:tr>
      <w:tr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ESOP Pool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12% (post-money)</w:t>
            </w:r>
          </w:p>
        </w:tc>
        <w:tc>
          <w:tcPr>
            <w:tcW w:type="dxa" w:w="3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Bereits in Gesellschafterliste eingetragen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Liquidation Preference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1× non-participating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Earlybird, Cherry (pro rata)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1B474D"/>
        </w:rPr>
        <w:t xml:space="preserve">3. TRANCHE 2 DISBURSEMENT CONDITIONS / AUSZAHLUNGSVORAUSSETZUNGEN TRANCHE 2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3.1  MILESTONE CONDITIONS (MEILENSTEINE)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All three milestones must be achieved simultaneously by the Milestone Verification Date:</w:t>
      </w:r>
    </w:p>
    <w:p>
      <w:pPr>
        <w:spacing w:after="40" w:before="4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(Alle drei Meilensteine müssen kumulativ bis zum Milestone-Nachweis-Termin erfüllt sein:)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1800"/>
        <w:gridCol w:w="2000"/>
      </w:tblGrid>
      <w:tr>
        <w:tc>
          <w:tcPr>
            <w:tcW w:type="dxa" w:w="4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 / Meilenstein</w:t>
            </w:r>
          </w:p>
        </w:tc>
        <w:tc>
          <w:tcPr>
            <w:tcW w:type="dxa" w:w="2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Value / Zielwert</w:t>
            </w:r>
          </w:p>
        </w:tc>
        <w:tc>
          <w:tcPr>
            <w:tcW w:type="dxa" w:w="1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 Date / Nachweis-Termin</w:t>
            </w:r>
          </w:p>
        </w:tc>
        <w:tc>
          <w:tcPr>
            <w:tcW w:type="dxa" w:w="2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Nachweisdokument</w:t>
            </w:r>
          </w:p>
        </w:tc>
      </w:tr>
      <w:tr>
        <w:tc>
          <w:tcPr>
            <w:tcW w:type="dxa" w:w="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M-1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Annual Recurring Revenue (ARR) / Jährlich wiederkehrender Umsatz (ARR)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≥ EUR 2,500,000 (Zwei Millionen fünfhunderttausend Euro)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30. Juni 2026 (30 June 2026)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Aktueller MRR-Report + Buchführungsdaten (DATEV) — zertifiziert durch Steuerberaterin</w:t>
            </w:r>
          </w:p>
        </w:tc>
      </w:tr>
      <w:tr>
        <w:tc>
          <w:tcPr>
            <w:tcW w:type="dxa" w:w="4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M-2</w:t>
            </w:r>
          </w:p>
        </w:tc>
        <w:tc>
          <w:tcPr>
            <w:tcW w:type="dxa" w:w="24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Net Revenue Retention (NRR) / Netto-Umsatzbindungsrate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≥ 110% (gemessen auf Kohortenbasis der Kunden mit mind. 12 Monaten Laufzeit)</w:t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30. Juni 2026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Kohorten-Analyse aus CRM-System (HubSpot) — verifiziert durch Investor</w:t>
            </w:r>
          </w:p>
        </w:tc>
      </w:tr>
      <w:tr>
        <w:tc>
          <w:tcPr>
            <w:tcW w:type="dxa" w:w="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M-3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Paying Customer Count / Zahlende Kundenzahl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≥ 180 aktive, zahlende Abonnement-Kunden (nicht Testaccounts, keine eingestellten Kunden)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30. Juni 2026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Kundenliste mit Vertragsdaten aus CRM — datenschutzgerecht anonymisiert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3.2  MILESTONE VERIFICATION PROCESS / MEILENSTEINNACHWEIS-VERFAHREN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(a)  No later than July 10, 2026, the Company shall deliver to Earlybird a written milestone achievement report (Meilenstein-Erfüllungsbericht) certified by the Company's auditor / tax advisor.</w:t>
      </w:r>
    </w:p>
    <w:p>
      <w:pPr>
        <w:spacing w:after="60" w:before="6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    (Spätestens bis zum 10. Juli 2026 überreicht die Gesellschaft Earlybird einen schriftlichen Meilenstein-Nachweis, der durch die Steuerberaterin der Gesellschaft bestätigt wird.)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(b)  Earlybird shall have 10 business days to review and accept or dispute the milestone achievement report.</w:t>
      </w:r>
    </w:p>
    <w:p>
      <w:pPr>
        <w:spacing w:after="60" w:before="6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    (Earlybird hat 10 Werktage Zeit, den Bericht zu prüfen und entweder anzunehmen oder zu bestreiten.)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(c)  Upon undisputed achievement, Earlybird shall cause the disbursement of EUR 3,000,000 within 10 business days via wire transfer.</w:t>
      </w:r>
    </w:p>
    <w:p>
      <w:pPr>
        <w:spacing w:after="160" w:before="6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    (Bei unbestrittener Erfüllung zahlt Earlybird EUR 3.000.000,00 innerhalb von 10 Werktagen per Überweisung aus.)</w:t>
      </w:r>
    </w:p>
    <w:p>
      <w:pPr>
        <w:pStyle w:val="Heading2"/>
      </w:pPr>
      <w:r>
        <w:rPr>
          <w:b/>
          <w:bCs/>
          <w:color w:val="1B474D"/>
        </w:rPr>
        <w:t xml:space="preserve">4. ALTERNATIVE SCENARIOS / ALTERNATIVSZENARIEN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4.1  Partial Achievement — If only M-1 and M-3 are met but NRR is between 100% and 110%, the parties agree to negotiate in good faith a reduced tranche disbursement of not less than EUR 1,500,000 and/or a convertible loan structure.</w:t>
      </w:r>
    </w:p>
    <w:p>
      <w:pPr>
        <w:spacing w:after="80" w:before="6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    (Teilerfüllung — Falls nur M-1 und M-3 erfüllt, NRR zwischen 100 % und 110 %, verhandeln die Parteien in gutem Glauben über eine Teilauszahlung von mind. 1.500.000,00 EUR und/oder eine Wandeldarlehensstruktur.)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4.2  Missed Milestones — If Milestones are not achieved by the Verification Date, the Company and Earlybird shall meet within 15 business days to agree on a revised funding plan. This Term Sheet does not create any obligation on Earlybird to disburse Tranche 2 if Milestones are not achieved.</w:t>
      </w:r>
    </w:p>
    <w:p>
      <w:pPr>
        <w:spacing w:after="160" w:before="6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    (Nicht-Erreichung — Falls Meilensteine nicht erfüllt: innerhalb von 15 Werktagen Treffen zur Besprechung eines überarbeiteten Finanzierungsplans. Dieses Term Sheet begründet keine Verpflichtung von Earlybird zur Auszahlung von Tranche 2 bei Nicht-Erreichung.)</w:t>
      </w:r>
    </w:p>
    <w:p>
      <w:pPr>
        <w:pStyle w:val="Heading2"/>
      </w:pPr>
      <w:r>
        <w:rPr>
          <w:b/>
          <w:bCs/>
          <w:color w:val="1B474D"/>
        </w:rPr>
        <w:t xml:space="preserve">5. IMPORTANT NOTICE / WICHTIGER HINWEIS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A13544"/>
          <w:sz w:val="18"/>
          <w:szCs w:val="18"/>
        </w:rPr>
        <w:t xml:space="preserve">THIS TERM SHEET IS NON-BINDING AND DOES NOT CONSTITUTE A LEGALLY ENFORCEABLE AGREEMENT OR COMMITMENT TO FUND. Any disbursement of Tranche 2 is subject to: (i) achievement of all Milestones; (ii) no material adverse change in the Company's business, financial condition or prospects; (iii) satisfactory completion of investor due diligence; (iv) execution of binding amendment agreements to the Series A Shareholders' Agreement and Subscription Agreement; (v) approval by the Earlybird Investment Committee.</w:t>
      </w:r>
    </w:p>
    <w:p>
      <w:pPr>
        <w:spacing w:after="160" w:before="60"/>
      </w:pPr>
      <w:r>
        <w:rPr>
          <w:rFonts w:ascii="Calibri" w:cs="Calibri" w:eastAsia="Calibri" w:hAnsi="Calibri"/>
          <w:color w:val="A13544"/>
          <w:sz w:val="18"/>
          <w:szCs w:val="18"/>
        </w:rPr>
        <w:t xml:space="preserve">DIESES TERM SHEET IST UNVERBINDLICH UND BEGRÜNDET KEINE RECHTLICH DURCHSETZBAREN VERPFLICHTUNGEN. Die Auszahlung von Tranche 2 setzt voraus: (i) Erreichen aller Meilensteine; (ii) keine wesentliche negative Veränderung des Unternehmens; (iii) abgeschlossene Due Diligence; (iv) Unterzeichnung bindender Vertragsänderungen; (v) Zustimmung des Earlybird Investment Committees.</w:t>
      </w:r>
    </w:p>
    <w:p>
      <w:pPr>
        <w:spacing w:after="200"/>
      </w:pPr>
      <w:r>
        <w:rPr>
          <w:rFonts w:ascii="Calibri" w:cs="Calibri" w:eastAsia="Calibri" w:hAnsi="Calibri"/>
          <w:color w:val="1B474D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Berlin / San Francisco, 14 February 2025 (Datum des Series-A-Closings) | Dieser Auszug wurde am 02.05.2026 für die Akte Fortbestehensprognose § 19 InsO erstellt.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18"/>
          <w:szCs w:val="18"/>
        </w:rPr>
        <w:t xml:space="preserve">Initialed / Paraphiert: _________________ (Earlybird)   _________________ (Paragrafix GmbH)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8251D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Sheet Series A Tranche 2 — Paragrafix GmbH</dc:title>
  <dc:creator>Perplexity Computer</dc:creator>
  <dc:description>Auszug Term Sheet Series A Tranche 2 — Paragrafix GmbH</dc:description>
  <cp:lastModifiedBy>Un-named</cp:lastModifiedBy>
  <cp:revision>1</cp:revision>
  <dcterms:created xsi:type="dcterms:W3CDTF">2026-05-20T10:05:09.151Z</dcterms:created>
  <dcterms:modified xsi:type="dcterms:W3CDTF">2026-05-20T10:05:09.151Z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